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BB.2015.167 vom 19. Januar 2015</w:t>
      </w:r>
    </w:p>
    <w:p>
      <w:r>
        <w:t>Bundesstrafgericht, 2015-01-19, DE</w:t>
      </w:r>
    </w:p>
    <w:p>
      <w:r>
        <w:rPr>
          <w:b/>
        </w:rPr>
        <w:t xml:space="preserve">Quelle: </w:t>
      </w:r>
      <w:r>
        <w:t>https://mcp.opencaselaw.ch/entscheid/bstger_BB.2015.167</w:t>
      </w:r>
    </w:p>
    <w:p>
      <w:r>
        <w:t>FR: TPF BB.2015.167 du 19 janvier 2015</w:t>
      </w:r>
    </w:p>
    <w:p>
      <w:r>
        <w:t>IT: TPF BB.2015.167 del 19 gennaio 2015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StPO); falls die Sicherheit nicht fristgerecht geleistet wird, die Rechtsmittelinstanz auf das Rechtsmittel nicht eintritt (Art. 383 Abs. 2 StPO);</w:t>
      </w:r>
    </w:p>
    <w:p>
      <w:r>
        <w:t>- die Frist zur Bezahlung des Kostenvorschusses gewahrt ist, wenn der Betrag spätestens am letzten Tag der Frist zu Gunsten der Behörde der Schweizerischen Post übergeben oder einem Post- oder Bankkonto in der Schweiz belastet worden ist (Art. 91 Abs. 5 StPO);</w:t>
      </w:r>
    </w:p>
    <w:p>
      <w:r>
        <w:t>- der Beschwerdeführer im vorliegenden Fall die ihm zur Leistung des Kostenvorschusses anberaumte Frist unbenutzt verstreichen liess, weshalb auf seine Beschwerde androhungsgemäss nicht einzutreten ist;</w:t>
      </w:r>
    </w:p>
    <w:p>
      <w:r>
        <w:t>- bei diesem Ausgang des Verfahrens der Beschwerdeführer die Gerichtskosten zu tragen (Art. 428 Abs. 1 StPO) hat;</w:t>
      </w:r>
    </w:p>
    <w:p>
      <w:r>
        <w:t>- die Gerichtsgebühr auf Fr. 200.-- festzusetzen ist (vgl. Art. 73 StBOG i.V.m. Art. 5 und 8 Abs. 1 des Reglements des Bundesstrafgerichts vom 31. August 2010 über die Kosten, Gebühren und Entschädigungen in Bundesstrafverfahren [BStKR; SR 173.713.162]).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