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BB.2015.127 vom 3. Mai 2016</w:t>
      </w:r>
    </w:p>
    <w:p>
      <w:r>
        <w:t>Bundesstrafgericht, 2016-05-03, DE</w:t>
      </w:r>
    </w:p>
    <w:p>
      <w:r>
        <w:rPr>
          <w:b/>
        </w:rPr>
        <w:t xml:space="preserve">Quelle: </w:t>
      </w:r>
      <w:r>
        <w:t>https://mcp.opencaselaw.ch/entscheid/bstger_BB.2015.127</w:t>
      </w:r>
    </w:p>
    <w:p>
      <w:r>
        <w:t>FR: TPF BB.2015.127 du 3 mai 2016</w:t>
      </w:r>
    </w:p>
    <w:p>
      <w:r>
        <w:t>IT: TPF BB.2015.127 del 3 maggio 2016</w:t>
      </w:r>
    </w:p>
    <w:p>
      <w:pPr>
        <w:pStyle w:val="Heading2"/>
      </w:pPr>
      <w:r>
        <w:t>Regeste</w:t>
      </w:r>
    </w:p>
    <w:p>
      <w:r>
        <w:t>Akteneinsicht (Art. 101 f. i.V.m. Art. 107 Abs. 1 lit. a StPO).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November 2012, S. 4, BB.2011.122 vom 14. November 2011);</w:t>
      </w:r>
    </w:p>
    <w:p>
      <w:r>
        <w:t>- wenn sich dies – wie vorliegend – nicht feststellen lässt, für das Unterliegen in erster Linie auf den mutmasslichen Prozessausgang abzustellen ist und zwar aufgrund der Sachlage vor Eintritt des Erledigungsgrunds; der Ent- scheid summarischer zu begründen ist (Entscheid des Bundesstrafgerichts BB.2013.9 vom 25. Februar 2013);</w:t>
      </w:r>
    </w:p>
    <w:p>
      <w:r>
        <w:t>- zwischen den Parteien unbestritten ist, dass der Beschwerdeführer im Vor- verfahren nicht sämtliche Verfahrensakten im Original einsehen konnte, ihm diese jedoch in elektronischer Form vorlagen (act. 1.1, S. 2);</w:t>
      </w:r>
    </w:p>
    <w:p>
      <w:r>
        <w:t>- der Beschwerdeführer im Vorverfahren rügte, dass die ihm digital zugestell- ten Verfahrensakten nicht mit den Originalakten übereinstimmten (Verfah- rensakten 20-02-00092);</w:t>
      </w:r>
    </w:p>
    <w:p>
      <w:r>
        <w:t>- der Beschwerdeführer die Einsicht in die Originalakten im Wesentlichen des- wegen beantragte, um sie mit den ihm in elektronischer Form zugestellten Akten zu vergleichen (act. 1, S. 5);</w:t>
      </w:r>
    </w:p>
    <w:p>
      <w:r>
        <w:t>- 4 -</w:t>
      </w:r>
    </w:p>
    <w:p>
      <w:r>
        <w:t>- nicht einzusehen ist, weswegen die Beschwerdegegnerin diesem Antrag nicht entsprach;</w:t>
      </w:r>
    </w:p>
    <w:p>
      <w:r>
        <w:t>- die Strafkammer entsprechend – auf Gesuch des Beschwerdeführers hin – diesem volle Akteneinsicht in die originalen Verfahrensakten gewährte (act. 12.1);</w:t>
      </w:r>
    </w:p>
    <w:p>
      <w:r>
        <w:t>- nach dem Gesagten die Beschwerde mutmasslich gutgeheissen worden wäre;</w:t>
      </w:r>
    </w:p>
    <w:p>
      <w:r>
        <w:t>- bei diesem Ausgang des Verfahrens keine Gerichtskosten zu erheben sind (Art. 428 Abs. 4 und 423 StPO);</w:t>
      </w:r>
    </w:p>
    <w:p>
      <w:r>
        <w:t>- die Beschwerdegegnerin dem Beschwerdeführer eine Entschädigung seiner Aufwendungen für die angemessene Ausübung seiner Verfahrensrechte auszurichten hat (Art. 436 Abs. 1 StPO i.V.m. Art. 429 Abs. 1 lit. a StPO); die eingereichte Honorarnote (act. 5.4) grundsätzlich Grundlage der Bemessung der Entschädigung bildet (Art. 10 und 12 Abs. 1 BStKR);</w:t>
      </w:r>
    </w:p>
    <w:p>
      <w:r>
        <w:t>- Rechtsanwalt Daniel U. Walder mit Schreiben vom 14. April 2016 seine Ho- norarnote einreichte (act. 12.2);</w:t>
      </w:r>
    </w:p>
    <w:p>
      <w:r>
        <w:t>- der geltend gemachte Stundenansatz jedoch praxisgemäss von Fr. 280.-- auf Fr. 230.-- zu reduzieren ist (vgl. hierzu u. a. den Beschluss des Bun- desstrafgerichts BB.2013.11 vom 18. Juni 2013, E. 4.2 mit Hinweis);</w:t>
      </w:r>
    </w:p>
    <w:p>
      <w:r>
        <w:t>- Rechtsanwalt Daniel U. Walder für das Verfassen der Beschwerde 6.25 Stunden veranschlagt und für die Beschwerdereplik 9.55 Stunden; der geltend gemachte Aufwand für die Replik als übersetzt einzustufen ist, da von der Beschwerdegegnerin in der Beschwerdeantwort nichts wesentlich Neues vorgebracht wurde; 4 Stunden für den Aufwand im Zusammenhang mit der Beschwerdereplik als angemessen erscheinen;</w:t>
      </w:r>
    </w:p>
    <w:p>
      <w:r>
        <w:t>- im Übrigen die geltend gemachten Aufwendungen als angemessen einzu- stufen sind;</w:t>
      </w:r>
    </w:p>
    <w:p>
      <w:r>
        <w:t>- sich die zu leistende Entschädigung daher auf Fr. 2‘545.90 (11 Stunden à Fr. 230.-- inkl. Auslagen Fr. 15.90; keine MwSt.) beläuft.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