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BB.2015.121 vom 6. Mai 2016</w:t>
      </w:r>
    </w:p>
    <w:p>
      <w:r>
        <w:t>Bundesstrafgericht, 2016-05-06, FR</w:t>
      </w:r>
    </w:p>
    <w:p>
      <w:r>
        <w:rPr>
          <w:b/>
        </w:rPr>
        <w:t xml:space="preserve">Quelle: </w:t>
      </w:r>
      <w:r>
        <w:t>https://mcp.opencaselaw.ch/entscheid/bstger_BB.2015.121</w:t>
      </w:r>
    </w:p>
    <w:p>
      <w:r>
        <w:t>FR: TPF BB.2015.121 du 6 mai 2016</w:t>
      </w:r>
    </w:p>
    <w:p>
      <w:r>
        <w:t>IT: TPF BB.2015.121 del 6 maggio 2016</w:t>
      </w:r>
    </w:p>
    <w:p>
      <w:pPr>
        <w:pStyle w:val="Heading2"/>
      </w:pPr>
      <w:r>
        <w:t>Regeste</w:t>
      </w:r>
    </w:p>
    <w:p>
      <w:r>
        <w:t>Séquestre (art. 263 ss CPP); mise sous scellés (art. 248 al. 1 CPP); effet suspensif (art. 387 CPP); déni de justice (art. 393 al. 2 let. a CPP); mesures provisionnelles (art. 388 CPP).</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il ressort du registre du commerce que les recourantes ont pour président et membre de leur conseil d'administration, respectivement R. et Me Gontersweiler, disposant chacun de la signature individuelle (BB.2015.121-122, act. 1.2). Me Gontersweiler, en tant que conseil de A. AG et B. AG, elles-mêmes représentées en l'occurrence par R. (act. 1.1 et 4.1), ont adressé à la Cour de céans un mémoire de recours afin d'attaquer l'ordonnance du MPC du 10 novembre 2015 (BB.2015.121+122, act. 1.4). Quant au mémoire de recours du 30 décembre 2015, déposé au nom uniquement de A. AG et signé par R. (BB.2016.5, act. 1), il concerne également ladite ordonnance querellée et contient globalement la même argumentation juridique. Dès lors, il se justifie de joindre les causes BB.2015.121-122, BB.2016.5, BP.2015.51-52 et BP.2016.1.</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[ci-après: Message CPP], p. 1296 in fine.; GUIDON, Commentaire bâlois, 2e éd., Bâle 2014 [ci-après: BSK StPO], n° 15 ad art. 393 CPP; KELLER, Donatsch/Hansjakob/Lieber [édit.],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1.3</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w:t>
      </w:r>
    </w:p>
    <w:p>
      <w:r>
        <w:t>- 6 -</w:t>
      </w:r>
    </w:p>
    <w:p>
      <w:r>
        <w:t>2014, consid. 1.4; BB.2013.89 du 24 octobre 2013, consid. 1.3; BB.2013.88 du 13 septembre 2013, consid. 1.4 et références citées).</w:t>
      </w:r>
    </w:p>
    <w:p>
      <w:r>
        <w:rPr>
          <w:b/>
        </w:rPr>
        <w:t>E. 1.4</w:t>
      </w:r>
    </w:p>
    <w:p>
      <w:r>
        <w:t>Quant à la question du séquestre, la qualité pour recourir des recourantes est patente, celles-ci étant titulaires des relations bancaires frappées par cette mesure (décision du Tribunal pénal fédéral BB.2015.26 du 15 juillet 2015, consid. 1.3).</w:t>
      </w:r>
    </w:p>
    <w:p>
      <w:r>
        <w:rPr>
          <w:b/>
        </w:rPr>
        <w:t>E. 1.5</w:t>
      </w:r>
    </w:p>
    <w:p>
      <w:r>
        <w:t>Concernant la requête de mise sous scellés, sous l'empire de l'ancienne jurisprudence du Tribunal fédéral, s'agissant comme en l'espèce de documents bancaires, seule la banque était considérée comme détentrice de documents et pouvait, lors d'une perquisition, exiger l'apposition de scellés, ce qui était également le cas lorsque les documents étaient remis par la banque suite à une ordonnance d'édition. Ce droit n'appartenait ainsi pas à la personne poursuivie, au titulaire du compte ou à l'ayant droit économique de la société titulaire du compte. Dorénavant, la notion de «détenteur» doit s'interpréter largement (ATF 140 IV 28 consid. 4.3.3 et 4.3.4) et le titulaire du compte doit aussi être considéré comme un détenteur (décision du Tribunal pénal fédéral BB.2014.147-149 du 22 décembre 2014 et références citées). Par conséquent, les deux sociétés recourantes sont légitimées à demander la mise sous scellés de la documentation bancaire afférente à leurs comptes.</w:t>
      </w:r>
    </w:p>
    <w:p>
      <w:r>
        <w:rPr>
          <w:b/>
        </w:rPr>
        <w:t>E. 2</w:t>
      </w:r>
    </w:p>
    <w:p>
      <w:r>
        <w:t>Les recourantes ont requis l'octroi de l'effet suspensif (act. 1, p. 2). Aux termes de l'art. 387 CPP, les recours n'ont pas d'effet suspensif sauf si la direction de la procédure de l'autorité de recours en décide autrement (arrêt du Tribunal fédéral 1B_258/2011 du 24 mai 2011, consid. 2.3). La mesure de l'effet suspensif vise à maintenir un état qui garantit l'efficacité de la décision ultérieure, quel que soit son contenu. Selon la jurisprudence et la doctrine, il appartient au requérant de démontrer qu'il est sur le point de subir un préjudice important et – sinon irréparable – à tout le moins difficilement réparable (v. notamment les ordonnances présidentielles du Tribunal pénal fédéral BP.2010.6 et BP.2010.18-23 du 10 février et 11 juin 2010; JdT 2008 IV 66, n° 312 p. 161; CORBOZ, in Commentaire de la LTF, Corboz/Wurzburger/Ferrari/Frésard/Aubry Girardin [édit.], 2e éd., Berne 2014, nos 28 et 29 ad art. 103; DONZALLAZ, Loi sur le Tribunal fédéral – Commentaire, Berne 2008, n° 4166). En tout état de cause, l'octroi de l'effet suspensif ne saurait avoir pour conséquence de compromettre l'efficacité de la mesure ordonnée, pour peu que celle-ci ne soit pas d'emblée injustifiée (BÖSCH, Die Anklagekammer des Schweizerischen Bundesgerichts [Aufgaben und Verfahren], thèse, Zurich 1978, p. 87). Lorsque le prononcé attaqué constitue une décision négative, soit une décision rejetant une</w:t>
      </w:r>
    </w:p>
    <w:p>
      <w:r>
        <w:t>- 7 -</w:t>
      </w:r>
    </w:p>
    <w:p>
      <w:r>
        <w:t>demande d'une partie, l'effet suspensif ne peut être octroyé (ATF 117 V 185 consid. 1b). Attribuer l'effet suspensif reviendrait dans ce cas à accorder aux recourantes ce que l'instance inférieure lui a refusé. Par conséquent, la requête doit être rejetée.</w:t>
      </w:r>
    </w:p>
    <w:p>
      <w:r>
        <w:rPr>
          <w:b/>
        </w:rPr>
        <w:t>E. 3</w:t>
      </w:r>
    </w:p>
    <w:p>
      <w:r>
        <w:t>Les recourantes concluent subsidiairement à la mise sous scellés des documents saisis (act. 1, p. 2).</w:t>
      </w:r>
    </w:p>
    <w:p>
      <w:r>
        <w:rPr>
          <w:b/>
        </w:rPr>
        <w:t>E. 3.1</w:t>
      </w:r>
    </w:p>
    <w:p>
      <w:r>
        <w:t>En effet, 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«immédiatement», soit en relation temporelle directe avec la mesure coercitive (ATF 127 II 151 consid. 4 c/aa p. 156; arrêts du Tribunal fédéral 1B_322/2013 du 20 décembre 2013, consid. 2.1 et 1B_546/2012 du 23 janvier 2013, consid. 2.3 [«sofort»]; v. aussi décision du Tribunal pénal fédéral BB.2013.171 du 16 avril 2014, consid. 3.1). Elle coïncide donc en principe avec l'exécution de la perquisition (ATF 127 II 151 consid. 4c/aa p. 156; arrêts du Tribunal fédéral 1B_477/2012 du 13 février 2013 consid. 3.2; 1B_516/2012 du 9 janvier 2013, consid. 2; 1B_320/2012 du 14 décembre 2012, consid. 4.1 publié in SJ 2013 I 333; PITTELOUD, Code de procédure pénale suisse, Zurich/St-Gall 2012, n° 568; THORMANN/ BRECHBÜHL, BSK StPO, n° 11 ad art. 248 CPP). Ainsi, la demande doit être formulée avant même que les autorités de poursuite pénale puissent commencer à évaluer les informations (CHIRAZI, Commentaire romand, Code de procédure pénale suisse, Bâle 2011 [ci-après: CR-CPP], n° 6 ad art. 248 et la référence citée). Néanmoins, afin de garantir une protection effective des droits de l'intéressé, la demande de mise sous scellés devrait pouvoir encore être déposée quelques heures après la perquisition, et ce afin de permettre à celui-là de se faire conseiller par un avocat (KELLER, op. cit., n° 11 ad art. 248 CPP; arrêts du Tribunal fédéral 1B_322/2013 du 20 décembre 2013, consid. 2.1 et 1B_546/2012 du 23 janvier 2013, consid. 2.3). Une demande de mise sous scellés ultérieure est tardive et ne répond pas au but de cette procédure, car elle n'est plus à même d'empêcher que l'autorité pénale ne prenne connaissance du contenu des documents ou objets visés par la mesure (arrêt du Tribunal fédéral 1B_320/2012 du 14 décembre 2012, consid. 4.1.2 et 5.3 et références citées).</w:t>
      </w:r>
    </w:p>
    <w:p>
      <w:r>
        <w:rPr>
          <w:b/>
        </w:rPr>
        <w:t>E. 3.2</w:t>
      </w:r>
    </w:p>
    <w:p>
      <w:r>
        <w:t>Il ressort du dossier qu'au moment du dépôt de leur recours le 23 novembre 2015, les recourantes étaient en possession de la décision du MPC attaquée (BB.2015.121-122, act. 1.4). La banque T. a quant à elle indiqué avoir informé par téléphone le 12 novembre 2015 R. des mesures ordonnées par</w:t>
      </w:r>
    </w:p>
    <w:p>
      <w:r>
        <w:t>- 8 -</w:t>
      </w:r>
    </w:p>
    <w:p>
      <w:r>
        <w:t>le MPC (BB.2015.121-122, act. 7.13). Or les recourantes n'ont formulé leur demande de mise sous scellés que le 23 novembre 2015 en déposant leur recours. La démarche de celles-ci est dès lors manifestement tardive au vu des principes exposés précédemment. L'art. 248 al. 1 CPP dispose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Il sied dès lors de relever, par surabondance, que les recourantes n'invoquent aucun secret qui protégerait la documentation bancaire concernée par la mesure et ne désignent pas non plus quels documents ou objets seraient protégés par un secret, ce en violation de leur obligation de collaborer (v. ATF 138 IV 225 consid. 7.1; arrêts du Tribunal fédéral 1B_285/2013 du 11 mars 2014, consid. 6 et 1B_233/2009 du 25 février 2010, consid. 4.2 s.; HEIMGARTNER, Strafprozessuale Beschlagnahme, Zurich/Bâle/Genève 2011, p. 378). Par ailleurs, le secret bancaire ne justifie pas à lui seul la mise sous scellés, puisqu'il n'est pas, comme tel, opposable à la procédure pénale (décision du Tribunal pénal fédéral BB.2014.147-149 du 22 décembre 2014; Message CPP, p. 1185; ATF 119 IV 175; KELLER, op.cit., n° 22 ad art. 248 CPP; HARARI, Procédure pénale: la banque comme détentrice d'informations et de valeurs patrimoniales appartenant à son client, in: Journée 2010 de droit bancaire et financier, Genève 2011, p. 93 ss, 96 s.). Dès lors, la requête de mise sous scellés, eût-elle été recevable, aurait de toute manière été déclarée mal fondée.</w:t>
      </w:r>
    </w:p>
    <w:p>
      <w:r>
        <w:rPr>
          <w:b/>
        </w:rPr>
        <w:t>E. 4</w:t>
      </w:r>
    </w:p>
    <w:p>
      <w:r>
        <w:t>Il ressort du prononcé attaqué que le MPC a ordonné le séquestre de la documentation bancaire relative aux comptes des recourantes en tant que moyens de preuve (art. 263 al. 1 let. a CPP) et le séquestre conservatoire des avoirs déposés sur le compte n° 1 de A. AG afin de garantir le paiement des frais de procédure, des peines pécuniaires, des amendes et des indemnités (art. 263 al. 1 let. b CPP) et de restituer les objets et valeurs patrimoniales au lésé (art. 263 al. 1 let. c CPP; BB.2015.121-122, act. 7.4, p. 3).</w:t>
      </w:r>
    </w:p>
    <w:p>
      <w:r>
        <w:rPr>
          <w:b/>
        </w:rPr>
        <w:t>E. 4.1</w:t>
      </w:r>
    </w:p>
    <w:p>
      <w:r>
        <w:t>Les recourantes font en substance valoir que les soupçons à l'égard de R. ne sont pas suffisants pour ordonner un séquestre, dans la mesure notamment où l'acte d'accusation a été renvoyé par la Cour des affaires pénales au MPC le 19 mai 2015 (supra let. B; BB.2015.121-122, act. 1, p. 3).</w:t>
      </w:r>
    </w:p>
    <w:p>
      <w:r>
        <w:rPr>
          <w:b/>
        </w:rPr>
        <w:t>E. 4.2</w:t>
      </w:r>
    </w:p>
    <w:p>
      <w:r>
        <w:t>Dans sa réponse au recours, le MPC relève, à juste titre, que le Tribunal fédéral a déjà eu l'occasion de trancher ce grief (act. 7, p. 3-4). «Le fait que l'accusation a été renvoyée au Ministère public de la Confédération pour</w:t>
      </w:r>
    </w:p>
    <w:p>
      <w:r>
        <w:t>- 9 -</w:t>
      </w:r>
    </w:p>
    <w:p>
      <w:r>
        <w:t>complément d'instruction en date du 31 août 2015 n'affaiblit pas les soupçons de la commission d'une infraction à l'égard [de R.] et ne rend pas illusoire une éventuelle confiscation ou le prononcé d'une créance compensatrice en faveur des intimées. La Cour des affaires pénales n'a en effet pas remis en cause les charges retenues contre [R.] mais elle a estimé que l'acte d'accusation était incomplet concernant les autres participants et leur implication dans les faits reprochés au prévenu et qu'il existait divers obstacles importants à ce que des débats puissent avoir lieu en l'état.» (arrêt du Tribunal fédéral 1B_343/2015 du 7 octobre 2015, consid. 4).</w:t>
      </w:r>
    </w:p>
    <w:p>
      <w:r>
        <w:rPr>
          <w:b/>
        </w:rPr>
        <w:t>E. 5</w:t>
      </w:r>
    </w:p>
    <w:p>
      <w:r>
        <w:t>Les recourantes arguent en outre que les valeurs patrimoniales séquestrées n'ont aucun lien avec les faits poursuivis (act. 1, p. 4). Quant au MPC, il estime que dans le cadre d'un séquestre en couverture des frais au sens de l'art. 268 CPP ou en vue de garantir l'exécution d'une créance compensatrice (art. 71 al. 3 CP), un tel lien n'est pas requis (act. 7, p. 4). En outre, le MPC fait valoir la théorie dite de la transparence «Durchgriff», qui lui permet de conclure à l'identité économique entre A. AG et R. (v. infra consid. 5.12 et 5.17).</w:t>
      </w:r>
    </w:p>
    <w:p>
      <w:r>
        <w:rPr>
          <w:b/>
        </w:rPr>
        <w:t>E. 5.1</w:t>
      </w:r>
    </w:p>
    <w:p>
      <w:r>
        <w:t>Dans le cadre de la procédure n° SV.09.0135, il est reproché à R. d'avoir prêté son concours à P. pour blanchir, en Suisse et à l'étranger, de 2005 à 2009, au travers d'une structure de sociétés offshore et onshore, des valeurs patrimoniales à hauteur d'environ USD 55'000'000.--, valeurs présumées provenir des actes d'escroquerie commis principalement aux Etats-Unis par P., alors qu'il était Chief Investment Officer de la société AA. Ltd, et ce au préjudice des investisseurs des hedge funds gérés par ladite société. Il est de surcroît reproché à R. d'avoir utilisé un faux passeport au nom de Q., fausse identité de P., pour l'ouverture de comptes auprès de plusieurs établissements bancaires en Suisse et d'avoir utilisé des relations bancaires d'autres clients pour transférer des avoirs présumés provenir des activités criminelles de P., en utilisant le formulaire A désignant les clients en question comme ayants droit économiques. Ainsi, plus de USD 65'900'000.-- auraient été transférés, entre mai 2006 et octobre 2007, depuis différents comptes privés et sociétaires par P. et sa famille, en faveur de véhicules sous contrôle de R. Au moins USD 55'000'000.-- proviendraient du bénéfice réalisé par P., estimé à USD 116'000'000.--, dans le cadre de ses activités frauduleuses. Le MPC relève à cet égard qu'il a actuellement séquestré environ USD 30'000'000.-- sur des véhicules contrôlés par R. (à l'exclusion des immeubles séquestrés dont la valeur actuelle n'est pas déterminée à ce jour) et que USD 25'000'000.-- pourraient dès lors encore être séquestrés en tant que créance compensatrice, ce montant n'étant plus disponible (BB.2015.121-122, act. 7.1; act. 7.4, p. 4).</w:t>
      </w:r>
    </w:p>
    <w:p>
      <w:r>
        <w:t>- 10 -</w:t>
      </w:r>
    </w:p>
    <w:p>
      <w:r>
        <w:rPr>
          <w:b/>
        </w:rPr>
        <w:t>E. 5.2</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op.cit.,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CPP; LEMBO/JULEN BERTHOD, CR-CPP,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w:t>
      </w:r>
    </w:p>
    <w:p>
      <w:r>
        <w:rPr>
          <w:b/>
        </w:rPr>
        <w:t>E. 5.3</w:t>
      </w:r>
    </w:p>
    <w:p>
      <w:r>
        <w:t>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rPr>
          <w:b/>
        </w:rPr>
        <w:t>E. 5.4</w:t>
      </w:r>
    </w:p>
    <w:p>
      <w:r>
        <w:t>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w:t>
      </w:r>
    </w:p>
    <w:p>
      <w:r>
        <w:t>- 11 -</w:t>
      </w:r>
    </w:p>
    <w:p>
      <w:r>
        <w:t>(let.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rPr>
          <w:b/>
        </w:rPr>
        <w:t>E. 5.5</w:t>
      </w:r>
    </w:p>
    <w:p>
      <w:r>
        <w:t>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du 11 juillet 2012, consid. 3.1).</w:t>
      </w:r>
    </w:p>
    <w:p>
      <w:r>
        <w:rPr>
          <w:b/>
        </w:rPr>
        <w:t>E. 5.6</w:t>
      </w:r>
    </w:p>
    <w:p>
      <w:r>
        <w:t>Le séquestre en couverture des frais peut porter sur tous les biens et valeurs du prévenu, même ceux qui n'ont pas de lien de connexité avec l'infraction (LEMBO/JULEN BERTHOD, op. cit., ad art. 268 CPP n° 6 et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rPr>
          <w:b/>
        </w:rPr>
        <w:t>E. 5.7</w:t>
      </w:r>
    </w:p>
    <w:p>
      <w:r>
        <w:t>Afin que la personne touchée par la mesure de séquestre puisse examiner si le séquestre est conforme au principe de la proportionnalité, elle a un droit de connaître une estimation chiffrée de manière globale des coûts prévisibles de la procédure (arrêt du Tribunal fédéral 1P.542/1993 du 15 décembre 1993 consid. 5c). Elle ne dispose cependant pas de droit de connaître de manière détaillée l'ensemble des postes contenus dans ce montant maximal global (arrêt du Tribunal fédéral 1P.510/1994 du 28 octobre 1994, consid. 2c; HEIMGARTNER, op. cit., p. 32). Les frais de procédure ne sont au moment du séquestre encore guère prévisibles. Dès lors, une approche relativement souple doit être admise au stade initial de la procédure (BOMMER/GOLDSCHMID, BSK StPO, n° 8 ad art. 268 CPP).</w:t>
      </w:r>
    </w:p>
    <w:p>
      <w:r>
        <w:rPr>
          <w:b/>
        </w:rPr>
        <w:t>E. 5.8</w:t>
      </w:r>
    </w:p>
    <w:p>
      <w:r>
        <w:t>Le MPC soutient à cet égard qu'un grand nombre d'actes d'instruction a été effectué en Suisse et à l'étranger, que de nombreuses analyses ont été établies pour retracer les flux financiers sous enquête et d'autres actes</w:t>
      </w:r>
    </w:p>
    <w:p>
      <w:r>
        <w:t>- 12 -</w:t>
      </w:r>
    </w:p>
    <w:p>
      <w:r>
        <w:t>d'instructions seraient encore en cours. Il fait valoir que R. a presque systématiquement fait obstruction à l'avancement de la procédure. Ainsi, l'instruction s'est vue paralysée à de nombreuses reprises par les nombreux recours qu'il a interjetés et qui, pour la plupart, ont été rejetés. Dès lors, le MPC évalue les frais de procédure à plusieurs centaines de milliers de francs suisses. Le MPC relève qu'au 12 novembre 2015, les avoirs sur le compte n° 1 au nom de A. AG auprès de la banque T. s'élevaient à CHF 749'990.-- (BB.2015.121-122, act. 7.12).</w:t>
      </w:r>
    </w:p>
    <w:p>
      <w:r>
        <w:rPr>
          <w:b/>
        </w:rPr>
        <w:t>E. 5.9</w:t>
      </w:r>
    </w:p>
    <w:p>
      <w:r>
        <w:t>En effet, au vu de l'envergure de la procédure d'instruction, qui a notamment duré près de 7 ans, il est fort vraisemblable que la valeur des avoirs séquestrés ne dépasse pas celle des frais qui pourraient être mis à la charge du prévenu. De surcroît, il est permis de douter du futur recouvrement des frais de la procédure. La Cour de céans constate qu'à ce jour R. n'a pas été en mesure de prouver son indigence (décision du Tribunal pénal fédéral BB.2015.120 du 5 avril 2016, consid. 9.2) et qu'il a des dettes pendantes relatives aux frais judiciaires auxquels il a été condamné par la Cour de céans dans des causes connexes (v. décision du Tribunal pénal fédéral BB.2015.99 du 22 mars 2016). Cela laisse à penser qu’il pourrait tenter de se soustraire au paiement des dettes qui lui incomberaient à l'issue de la procédure. Somme toute, la question peut dans le cas présent rester ouverte, dans la mesure où d'autres motifs justifient le séquestre des avoirs des recourantes (infra consid. 5.16).</w:t>
      </w:r>
    </w:p>
    <w:p>
      <w:r>
        <w:rPr>
          <w:b/>
        </w:rPr>
        <w:t>E. 5.10</w:t>
      </w:r>
    </w:p>
    <w:p>
      <w:r>
        <w:t>En l’occurrence, un séquestre des avoirs déposés sur les comptes de A. AG en vue de l'exécution d'une créance compensatrice (art. 71 al. 3 CP) est possible. Le MPC relève qu'au moins USD 55'000'000.-- provenant du bénéfice des activités frauduleuses de P. auraient été transférés en faveur de véhicules sous contrôle de R. Dès lors que les montants séquestrés par le MPC s'élèvent à environ USD 30'000'000.--, une différence de USD 25'000'000.--, qui n'est plus disponible, peut faire l'objet d'une créance compensatrice (supra consid. 5.1 ; BB.2015.121-122, act. 7, p. 8-9; act. 7.4, p. 4).</w:t>
      </w:r>
    </w:p>
    <w:p>
      <w:r>
        <w:rPr>
          <w:b/>
        </w:rPr>
        <w:t>E. 5.11</w:t>
      </w:r>
    </w:p>
    <w:p>
      <w:r>
        <w:t>Le CPP ne prévoit pas expressément, ainsi qu'il le fait pour le séquestre en vue de la confiscation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 dernier permet en effet à l'autorité d'instruction de placer sous séquestre, en vue de l'exécution d'une créance compensatrice, des valeurs patrimoniales sans lien de connexité avec les faits faisant l'objet de l'instruction pénale. Ce n'est en outre que dans le cadre du jugement au fond</w:t>
      </w:r>
    </w:p>
    <w:p>
      <w:r>
        <w:t>- 13 -</w:t>
      </w:r>
    </w:p>
    <w:p>
      <w:r>
        <w:t>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5.12</w:t>
      </w:r>
    </w:p>
    <w:p>
      <w:r>
        <w:t>Le séquestre en vue de l'exécution d'une créance compensatrice a pour but d'éviter que celui qui a disposé des objets ou valeurs à confisquer soit privilégié par rapport à celui qui les a conservés (ATF 129 IV 107 consid. 3.2;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Code pénal I, Bâle 2009, [ci-après: CR-CP],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CR-CP, n° 8 ad. art. 71 CP).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(art. 59 ch. 2 al. 3 aCP), on entend non seulement l'auteur de l'infraction, mais aussi tout tiers, favorisé d'une manière ou d'une autre, par l'infraction (arrêts du Tribunal fédéral 1B_408/2012 du 28 août 2012, consid. 3.3; 1B_185/2007 du 30 novembre 2007 consid. 10.1; LEMBO/JULEN BERTHOD, op. cit., n° 28 ad art. 263 CPP; HIRSIG-VOUILLOZ, Le nouveau droit suisse de la confiscation pénale et de la créance compensatrice [art. 69 à 72 CP] in PJA 2007 p. 1376</w:t>
      </w:r>
    </w:p>
    <w:p>
      <w:r>
        <w:t>- 14 -</w:t>
      </w:r>
    </w:p>
    <w:p>
      <w:r>
        <w:t>ss, spéc. p. 1387; Schmid [édit.], Kommentar Einziehung, Organisiertes Verbrechen, Geldwäscherei, 2e éd., tome I, Zurich 2007, p. 174). Si le tiers n'a obtenu aucune faveur au sens susmentionné, le séquestre sur ses valeurs ne peut être qu'exceptionnellement prononcé en vue de l'exécution d'une créance compensatrice. La jurisprudence admet ainsi par exemple qu'un séquestre ordonné sur la base de l'art. 71 al. 3 CP vise des biens d'une société tierce, dans les cas où il convient de faire abstraction de la distinction entre l'actionnaire – prévenu (auteur présumé de l'infraction) – et la société qu'il détient (théorie dite de la transparence [«Durchgriff»];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novembre 2007, consid. 4.3 et référence citée). Le Tribunal fédéral envisage encore la situation dans laquelle le prévenu serait – dans les faits et malgré les apparences – le véritable bénéficiaire des valeurs cédées à un «homme de paille» («Strohmann») sur la base d'un contrat simulé («Scheingeschäft»; arrêt du Tribunal fédéral 1B_711/2012 du 14 mars 2013, consid. 4.1.2 in fine).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Leur volonté véritable tendra soit à ne produire aucun effet juridique, soit à produire un autre effet que celui de l'acte apparent; dans ce dernier cas les parties entendent en réalité conclure un second acte dissimulé (arrêt précité, ibidem; décision du Tribunal pénal fédéral BB.2012.134-135 du</w:t>
      </w:r>
    </w:p>
    <w:p>
      <w:r>
        <w:rPr>
          <w:b/>
        </w:rPr>
        <w:t>E. 5.13</w:t>
      </w:r>
    </w:p>
    <w:p>
      <w:r>
        <w:t>Quant aux fonds C. Ltd – O. LP, parties plaignantes à la procédure n° SV.09.0135, leur dommage est estimé à USD 200'000'000.-- (BB.2015.121-122, in act. 7.1, p. 5). Dès lors, dans la mesure où ces prétentions sont encore incertaines, il sied d'examiner si un séquestre conservatoire au sens de l'art. 71 al. 3 CP en vue de l'exécution d'une créance compensatrice sur ces montants peut être prononcé.</w:t>
      </w:r>
    </w:p>
    <w:p>
      <w:r>
        <w:rPr>
          <w:b/>
        </w:rPr>
        <w:t>E. 5.14</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 ses expectatives jusqu'au prononcé pénal, notamment en requérant un</w:t>
      </w:r>
    </w:p>
    <w:p>
      <w:r>
        <w:t>- 15 -</w:t>
      </w:r>
    </w:p>
    <w:p>
      <w:r>
        <w:t>séquestre conservatoire pour éviter que le débiteur de la possible future créance compensatrice ne dispose de ses biens afin de les soustraire à l'action future du créancier (arrêt du Tribunal fédéral 6B_326/2011 du</w:t>
      </w:r>
    </w:p>
    <w:p>
      <w:r>
        <w:rPr>
          <w:b/>
        </w:rPr>
        <w:t>E. 5.15</w:t>
      </w:r>
    </w:p>
    <w:p>
      <w:r>
        <w:t>S'agissant d'un séquestre provisoire, le respect du principe de la proportionnalité se limite pour l'essentiel à la garantie du minimum vital. Sous cette réserve, il est en principe considéré comme proportionné lorsqu'il porte sur des avoirs dont on peut admettre qu'ils seront vraisemblablement confisqués en application du droit pénal (HIRSIG-VOUILLOZ, CR-CP, n° 20 ad art. 71 CP).</w:t>
      </w:r>
    </w:p>
    <w:p>
      <w:r>
        <w:rPr>
          <w:b/>
        </w:rPr>
        <w:t>E. 5.16</w:t>
      </w:r>
    </w:p>
    <w:p>
      <w:r>
        <w:t>Au vu du montant présumé de l'infraction et des avoirs actuellement confisqués par le MPC, des présomptions concrètes de culpabilité à l'encontre de R. (supra consid. 4.2) – le séquestre des avoirs de ce dernier en vue de l'exécution d'une créance compensatrice se justifie. Cette mesure est susceptible d'assurer le désintéressement ultérieur des parties plaignantes. En l'occurrence, le MPC relève que selon les informations du MROS et le formulaire A relatif au compte bancaire de A. AG, l'ayant droit économique de cette société est S., qui n'est autre que l'épouse de R. (BB.2015.121-122, act. 7.6), et non une personne avec qui ce dernier est «en relation d'affaires» tel qu'il l'a indiqué à la banque (BB.2015.121-122, act. 7.3 et 7.10). Comme le MPC l’a mis en évidence, il ressort de surcroît du dossier notamment que A. AG était une filiale de CC. AG, actuellement CC. AG in Liquidation, société dont R. était actionnaire et administrateur. Le bilan de CC. AG a été déposé le 24 février 2015. Quant aux participations dans A. AG, elles ont été vendues par CC. AG à B. AG. R. est président du conseil d’administration de cette dernière, avec signature individuelle, et les actions de cette société sont détenues par S. (BB.2015.121-122, act. 7.3 et 7.10). En outre, A. AG est propriétaire d’un immeuble sis à Z., dans lequel CC. AG avait ses bureaux. Enfin, R. disposant de la signature individuelle pour A. AG (BB.2015.121-122, act. 1.2), il a le contrôle sur les actifs de celle- ci (BB.2015.121-122, act. 7.8). Enfin, le MROS a indiqué que la société BB., dont R. est président du conseil d’administration avec signature individuelle, détiendrait des participations dans la société B. AG (BB.2015.121-122, act. 7.3 et 7.11).</w:t>
      </w:r>
    </w:p>
    <w:p>
      <w:r>
        <w:rPr>
          <w:b/>
        </w:rPr>
        <w:t>E. 5.17</w:t>
      </w:r>
    </w:p>
    <w:p>
      <w:r>
        <w:t>Les éléments qui précèdent constituent, sous l'angle de la vraisemblance, un faisceau d'indices suffisant pour conclure à l'existence d'une identité économique entre R. et les recourantes en dépit des apparences. Celui-ci</w:t>
      </w:r>
    </w:p>
    <w:p>
      <w:r>
        <w:t>- 16 -</w:t>
      </w:r>
    </w:p>
    <w:p>
      <w:r>
        <w:t>apparaît comme étant le véritable ayant droit sur les fonds actuellement déposés au nom de A. AG auprès de la banque T.</w:t>
      </w:r>
    </w:p>
    <w:p>
      <w:r>
        <w:rPr>
          <w:b/>
        </w:rPr>
        <w:t>E. 5.18</w:t>
      </w:r>
    </w:p>
    <w:p>
      <w:r>
        <w:t>Quant au séquestre probatoire prononcé sur les documents bancaires des recourantes, il est patent que ladite documentation, notamment au vu du lien entre ces sociétés et R., est utile à la manifestation de la vérité dans le cadre de la procédure considérée.</w:t>
      </w:r>
    </w:p>
    <w:p>
      <w:r>
        <w:rPr>
          <w:b/>
        </w:rPr>
        <w:t>E. 5.19</w:t>
      </w:r>
    </w:p>
    <w:p>
      <w:r>
        <w:t>Il convient de relever que les autres conditions du séquestre, au demeurant non contestées, notamment l'intérêt public de la mesure (supra, consid. 5.2) sont dans le cas présent réalisées.</w:t>
      </w:r>
    </w:p>
    <w:p>
      <w:r>
        <w:t>6. Dans son mémoire de recours du 30 décembre 2015, R., agissant au nom de A. AG, soulève des griefs similaires à ceux qui viennent d’être examinés supra (BB.2015.121-122, act. 1 et BB.2016.5, act. 1) et se plaint en outre du fait que le MPC n’aurait pas répondu à ses diverses requêtes en levée de séquestre relatives au compte de cette société (BB.2016.5, act. 1, p. 1). Ce dernier grief, dans la mesure de son intelligibilité et qui pourrait éventuellement être assimilé à une plainte pour déni de justice, est devenu sans objet. En effet, le 4 avril 2016, le MPC a donné suite aux requêtes de R. et de Me Gontersweiler (BB.2015.121-122, act. 21 ; supra let. N) dans un délai tout à fait conforme aux réquisits jurisprudentiels en la matière (ATF 135 I 6 consid. 2.1; 134 I 229 consid. 2.3; 130 I 312 consid. 5.2). En outre et par conséquent, les nouvelles conclusions contenues dans la réplique du 1er février 2016 (supra let. J ; BB.2015.121-122, act. 12, p. 2), dans la mesure de leur recevabilité, sont également devenues sans objet.</w:t>
      </w:r>
    </w:p>
    <w:p>
      <w:r>
        <w:t>7. S’agissant de la requête de A. AG pour que soit rendue une décision superprovisoire relative à la levée du séquestre frappant son compte (BB.2016.5, act. 1, p. 1), celle-ci, au demeurant nullement motivée et manifestement infondée, est dorénavant sans objet au vu du présent prononcé, sans qu’il soit nécessaire de l’examiner plus avant.</w:t>
      </w:r>
    </w:p>
    <w:p>
      <w:r>
        <w:t>8. Au surplus et vu de ce qui précède, les recours et requêtes sont rejetés dans la mesure de leur recevabilité.</w:t>
      </w:r>
    </w:p>
    <w:p>
      <w:r>
        <w:t>9. En tant que partie qui succombe, le recourant se voit mettre à charge les frais, et ce en application de l'art. 428 al. 1 CPP, selon lequel les frais de la procédure de recours sont mis à la charge des parties dans la mesure où</w:t>
      </w:r>
    </w:p>
    <w:p>
      <w:r>
        <w:t>- 17 -</w:t>
      </w:r>
    </w:p>
    <w:p>
      <w:r>
        <w:t>elles ont obtenu gain de cause ou succombé. Ceux-ci se limitent en l'espèce à un émolument, réduit du fait de la jonction des causes , qui, en application des art. 5 et 8 al. 1 du règlement du Tribunal pénal fédéral du 31 août 2010 sur les frais, émoluments, dépens et indemnités de la procédure pénale fédérale (RFPPF; RS 173.713.162), sera fixé à CHF 2'000.--.</w:t>
      </w:r>
    </w:p>
    <w:p>
      <w:r>
        <w:t>10. 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ex aequo et bono attribuée solidairement aux fonds C. Ltd – O. LP paraît équitable et sera mise à la charge solidaire des recourantes.</w:t>
      </w:r>
    </w:p>
    <w:p>
      <w:r>
        <w:t>- 18 -</w:t>
      </w:r>
    </w:p>
    <w:p>
      <w:r>
        <w:rPr>
          <w:b/>
        </w:rPr>
        <w:t>E. 9</w:t>
      </w:r>
    </w:p>
    <w:p>
      <w:r>
        <w:t>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rPr>
          <w:b/>
        </w:rPr>
        <w:t>E. 10</w:t>
      </w:r>
    </w:p>
    <w:p>
      <w:r>
        <w:t>mai 2013, consid. 2.1).</w:t>
      </w:r>
    </w:p>
    <w:p>
      <w:r>
        <w:rPr>
          <w:b/>
        </w:rPr>
        <w:t>E. 14</w:t>
      </w:r>
    </w:p>
    <w:p>
      <w:r>
        <w:t>février 2012 consid. 2.1; HIRSIG-VOUILLOZ, CR-CP, n° 22 ad art. 71 CP; VOUILLOZ, Le séquestre pénal [art. 263 à 268 CPP], in PJA 2008 p. 1367 ss, p. 1376; DENIS-PIOTET, Les effets civils de la confiscation pénale, Berne 1995, p. 61 s., n° 151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