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BB.2015.115 vom 7. Dezember 2015</w:t>
      </w:r>
    </w:p>
    <w:p>
      <w:r>
        <w:t>Bundesstrafgericht, 2015-12-07, FR</w:t>
      </w:r>
    </w:p>
    <w:p>
      <w:r>
        <w:rPr>
          <w:b/>
        </w:rPr>
        <w:t xml:space="preserve">Quelle: </w:t>
      </w:r>
      <w:r>
        <w:t>https://mcp.opencaselaw.ch/entscheid/bstger_BB.2015.115</w:t>
      </w:r>
    </w:p>
    <w:p>
      <w:r>
        <w:t>FR: TPF BB.2015.115 du 7 décembre 2015</w:t>
      </w:r>
    </w:p>
    <w:p>
      <w:r>
        <w:t>IT: TPF BB.2015.115 del 7 dicembre 2015</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En l'espèce, la décision ayant été notifiée le 29 octobre 2015 au recourant, le délai de recours arrivait à échéance le lundi 9 novembre 2015. Le sceau postal figurant sur l'enveloppe adressée à la Cour de céans indique la date du 10 novembre 2015, ce qui pose la question du respect dudit délai. A cet égard, l'enveloppe en question contient sur son verso l'inscription manuscrite "A., Cellule no … (09-11-15)". Il ressort d'un dossier connexe à la présente</w:t>
      </w:r>
    </w:p>
    <w:p>
      <w:r>
        <w:t>- 4 -</w:t>
      </w:r>
    </w:p>
    <w:p>
      <w:r>
        <w:t>procédure que les courriers remis par les détenus à la direction de l'établissement C. sont postés le jour suivant la remise (v. dossier de la procédure connexe BB.2015.103, act. 7.1). Il appert donc en l'espèce que le recours a bel et bien été formé dans le respect de l'art. 396 al. 1 CPP, dès lors que,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1.3.1</w:t>
      </w:r>
    </w:p>
    <w:p>
      <w:r>
        <w:t>Dispose de la qualité pour recourir toute partie qui a un intérêt juridiquement protégé à l'annulation ou à la modification d'une décision (art. 382 al. 1 CPP; arrêt du Tribunal fédéral 1B_657/2012 du 8 mars 2013, consid. 2.3.1).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considérée comme lésée,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117 Ia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6B_266/2009 du 30 juin 2009 consid. 1.2.1). L'art. 115 al. 2 CPP ajoute que sont toujours considérées comme des lésés les personnes qui ont qualité pour déposer plainte pénale.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(FF 2005 p. 1148).</w:t>
      </w:r>
    </w:p>
    <w:p>
      <w:r>
        <w:t>- 5 -</w:t>
      </w:r>
    </w:p>
    <w:p>
      <w:r>
        <w:rPr>
          <w:b/>
        </w:rPr>
        <w:t>E. 1.3.2</w:t>
      </w:r>
    </w:p>
    <w:p>
      <w:r>
        <w:t>En l'espèce, le recourant limite son recours aux infractions réprimées par les art. 312 et 314 CP. Ces dispositions font partie du titre dix-huitième du Code pénal concernant les infractions contre les devoirs de fonction et les devoirs professionnels. Elles garantissent en premier lieu des intérêts collectifs. Le titulaire des biens juridiques protégés est donc l'Etat (arrêt du Tribunal fédéral 1B_201/2011 du 9 juin 2011, consid. 2.2). Ainsi que rappelé au considérant précédent,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En l'occurrence, le préjudice dont se prévaut le recourant, à savoir le fait d'avoir été privé de la possibilité de déposer une demande de révision dûment motivée de l'arrêt du Tribunal fédéral 6B_266/2014, apparaît comme la conséquence directe du comportement reproché à l'encontre d'un fonctionnaire fédéral.</w:t>
      </w:r>
    </w:p>
    <w:p>
      <w:r>
        <w:t>Son intérêt juridique actuel à recourir contre la non-entrée en matière prononcée par le MPC sur ces points peut par conséquent être reconnu.</w:t>
      </w:r>
    </w:p>
    <w:p>
      <w:r>
        <w:rPr>
          <w:b/>
        </w:rPr>
        <w:t>E. 1.4</w:t>
      </w:r>
    </w:p>
    <w:p>
      <w:r>
        <w:t>Le recours est recevable et il convient d'entrer en matière.</w:t>
      </w:r>
    </w:p>
    <w:p>
      <w:r>
        <w:rPr>
          <w:b/>
        </w:rPr>
        <w:t>E. 2</w:t>
      </w:r>
    </w:p>
    <w:p>
      <w:r>
        <w:t>Le recourant indique expressément limiter son recours à une seule partie de l'ordonnance entreprise, soit les paragraphes 5 à 8 de la troisième page, relatifs à la non-entrée en matière sur la violation des art. 312 et 314 CP (v. supra let. D et consid. 1.3.2).</w:t>
      </w:r>
    </w:p>
    <w:p>
      <w:r>
        <w:rPr>
          <w:b/>
        </w:rPr>
        <w:t>E. 2.1</w:t>
      </w:r>
    </w:p>
    <w:p>
      <w:r>
        <w:t>Comme unique argument, le recourant fait valoir qu'il n'aurait, lorsqu'il s'est adressé au Tribunal fédéral le 24 avril 2014, pas formé une demande de révision en tant que telle, mais uniquement demandé à "recevoir une copie du dossier afin de demander la révision de la décision [6B_266/2014]". Or, toujours selon le recourant, "un employé du TF […] ne peut point arguer qu'il a confondu une requête d'accès au dossier avec une demande de révision" et si ledit employé l'a fait, ce ne serait "qu'avec le dessein, totalement volontaire, de la faire ainsi". Pareil comportement serait constitutif d'une violation des art. 312 et 314 CP, dans la mesure où il l'aurait privé de son droit à motiver en bonne et due forme la demande de révision qu'il entendait déposer une fois en possession du dossier requis.</w:t>
      </w:r>
    </w:p>
    <w:p>
      <w:r>
        <w:t>- 6 -</w:t>
      </w:r>
    </w:p>
    <w:p>
      <w:r>
        <w:rPr>
          <w:b/>
        </w:rPr>
        <w:t>E. 2.2</w:t>
      </w:r>
    </w:p>
    <w:p>
      <w:r>
        <w:t>Le grief est inconsistant dès lors qu'il est vicié dans sa substance même. Il se révèle en effet en parfaite contradiction avec l'écrit adressé par le recourant lui-même au Tribunal fédéral en date du 20 juin 2014 (v. dossier de la procédure connexe BB.2015.103, rubrique 18, pièces 18-00-00-0006 ss). A cette occasion, ledit recourant indiquait – sous chiffre 1 et en toutes lettres – avoir "déposé une demande de révision" de l'arrêt 6B_266/2014, et, plus loin – sous chiffre 2 –, invitait la Cour de droit pénal du Tribunal fédéral à "statue[r] à nouveau sur [s]a demande de révision".</w:t>
      </w:r>
    </w:p>
    <w:p>
      <w:r>
        <w:t>Ainsi, de l'aveu même du recourant, son acte du 24 avril 2014 à l'attention du Tribunal fédéral était bel et bien une demande de révision, qui a été traitée comme telle par l'autorité compétente, et ce dans le respect des règles applicables à ce cas de figure. Il n'y a partant aucune place pour un quelconque soupçon de violation des art. 312, voire 314 CP. L'ordonnance entreprise ne prête d'aucune manière le flanc à la critique.</w:t>
      </w:r>
    </w:p>
    <w:p>
      <w:r>
        <w:rPr>
          <w:b/>
        </w:rPr>
        <w:t>E. 3</w:t>
      </w:r>
    </w:p>
    <w:p>
      <w:r>
        <w:t>Le constat qui précède ne peut conduire qu'au rejet du recours.</w:t>
      </w:r>
    </w:p>
    <w:p>
      <w:r>
        <w:rPr>
          <w:b/>
        </w:rPr>
        <w:t>E. 4</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sur les frais, émoluments, dépens et indemnités de la procédure pénale fédérale (RFPPF; RS 173.713.162), sera exceptionnel- lement réduit, et fixé à CHF 800.-- du fait de la situation financière du recourant qui semble peu favorable.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