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BB.2015.107 vom 28. Oktober 2015</w:t>
      </w:r>
    </w:p>
    <w:p>
      <w:r>
        <w:t>Bundesstrafgericht, 2015-10-28, DE</w:t>
      </w:r>
    </w:p>
    <w:p>
      <w:r>
        <w:rPr>
          <w:b/>
        </w:rPr>
        <w:t xml:space="preserve">Quelle: </w:t>
      </w:r>
      <w:r>
        <w:t>https://mcp.opencaselaw.ch/entscheid/bstger_BB.2015.107</w:t>
      </w:r>
    </w:p>
    <w:p>
      <w:r>
        <w:t>FR: TPF BB.2015.107 du 28 octobre 2015</w:t>
      </w:r>
    </w:p>
    <w:p>
      <w:r>
        <w:t>IT: TPF BB.2015.107 del 28 ottobre 2015</w:t>
      </w:r>
    </w:p>
    <w:p>
      <w:pPr>
        <w:pStyle w:val="Heading2"/>
      </w:pPr>
      <w:r>
        <w:t>Regeste</w:t>
      </w:r>
    </w:p>
    <w:p>
      <w:r>
        <w:t>Edition (Art. 265 Abs. 3 StPO). Aufschiebende Wirkung (Art. 387 StPO).</w:t>
      </w:r>
    </w:p>
    <w:p>
      <w:pPr>
        <w:pStyle w:val="Heading2"/>
      </w:pPr>
      <w:r>
        <w:t>Erwägungen</w:t>
      </w:r>
    </w:p>
    <w:p>
      <w:r>
        <w:rPr>
          <w:b/>
        </w:rPr>
        <w:t>E. 4</w:t>
      </w:r>
    </w:p>
    <w:p>
      <w:r>
        <w:t>Mai 2015, E. 2.1; BB.2014.81 vom 23. Dezember 2014, E. 3.2; BB.2014.114 vom 8. Oktober 2014, E. 3.2; BB.2013.157 vom 3. März 2014, E. 1.3; BB.2011.25 vom 30. Mai 2011, E. 2.1; alle m.w.H.; vgl. für das Ver- waltungsstrafrecht den Beschluss BV.2014.51 vom 18. November 2014, E. 2.2; vgl. für die Rechtslage vor Inkrafttreten der StPO u. a. den Entscheid des Bundesstrafgerichts BB.2006.52 vom 20. Februar 2007, E. 2.2 m.w.H.);</w:t>
      </w:r>
    </w:p>
    <w:p>
      <w:r>
        <w:t>- dies vorliegend umso deutlicher wird, als die von der Massnahme betroffe- nen Konten im Einzelnen noch nicht mal vollständig bekannt sind und zum Zeitpunkt der Editionsverfügung der Konnex zwischen den Unterlagen zu den allenfalls betroffenen Konten und dem Gegenstand der Untersuchung noch gar nicht bekannt sein kann (dieser Konnex ist Voraussetzung einer jeden Beweismittelbeschlagnahme; siehe das Urteil des Bundesgerichts 1B_103/2012 vom 5. Juli 2012, E. 2.1);</w:t>
      </w:r>
    </w:p>
    <w:p>
      <w:r>
        <w:t>- die Beschwerdegegnerin nach Erhalt der Unterlagen diese zu durchsuchen und hernach darüber zu entscheiden hat, welche dieser Unterlagen für die Untersuchung von Relevanz und daher zu den Akten zu nehmen sind;</w:t>
      </w:r>
    </w:p>
    <w:p>
      <w:r>
        <w:t>- sie diesen Entscheid mittels anfechtbarer Beschlagnahmeverfügung zu tref- fen und diesen dann auch den allenfalls betroffenen Personen zu eröffnen hat;</w:t>
      </w:r>
    </w:p>
    <w:p>
      <w:r>
        <w:t>- 4 -</w:t>
      </w:r>
    </w:p>
    <w:p>
      <w:r>
        <w:t>- sich die Beschwerde auch aufgrund des Fehlens einer anfechtbaren Be- schlagnahme als offensichtlich unzulässig erweist, weshalb auf diese ohne Durchführung eines Schriftenwechsels nicht einzutreten ist (Art. 379 i.V.m. Art. 390 Abs. 2 StPO e contrario);</w:t>
      </w:r>
    </w:p>
    <w:p>
      <w:r>
        <w:t>- das Gesuchsverfahren betreffend aufschiebende Wirkung bei diesem Aus- gang des Verfahrens zufolge Gegenstandslosigkeit als erledigt abzuschrei- ben ist;</w:t>
      </w:r>
    </w:p>
    <w:p>
      <w:r>
        <w:t>- die Beschwerdegegnerin einerseits die Beschwerde mit der fehlerhaften Be- zeichnung des Schreibens vom 14. Oktober 2015 als Beweismittelbeschlag- nahme und durch Anfügen der unzutreffenden Rechtsmittelbelehrung provo- ziert hat;</w:t>
      </w:r>
    </w:p>
    <w:p>
      <w:r>
        <w:t>- andererseits sich der Beschwerdeführer aber ausdrücklich auf die oben an- geführte Rechtsprechung bezieht (act. 1, S. 11) und sich demzufolge be- wusst war, dass es sich beim vorliegenden Anfechtungsobjekt nicht um eine anfechtbare Beschlagnahme handeln konnte;</w:t>
      </w:r>
    </w:p>
    <w:p>
      <w:r>
        <w:t>- aus diesem Grund vorliegend keine Gerichtsgebühr zu erheben und auf die Zusprechung von Entschädigungen zu verzichten ist;</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