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BB.2014.99 vom 21. August 2014</w:t>
      </w:r>
    </w:p>
    <w:p>
      <w:r>
        <w:t>Bundesstrafgericht, 2014-08-21, DE</w:t>
      </w:r>
    </w:p>
    <w:p>
      <w:r>
        <w:rPr>
          <w:b/>
        </w:rPr>
        <w:t xml:space="preserve">Quelle: </w:t>
      </w:r>
      <w:r>
        <w:t>https://mcp.opencaselaw.ch/entscheid/bstger_BB.2014.99</w:t>
      </w:r>
    </w:p>
    <w:p>
      <w:r>
        <w:t>FR: TPF BB.2014.99 du 21 août 2014</w:t>
      </w:r>
    </w:p>
    <w:p>
      <w:r>
        <w:t>IT: TPF BB.2014.99 del 21 agosto 2014</w:t>
      </w:r>
    </w:p>
    <w:p>
      <w:pPr>
        <w:pStyle w:val="Heading2"/>
      </w:pPr>
      <w:r>
        <w:t>Regeste</w:t>
      </w:r>
    </w:p>
    <w:p>
      <w:r>
        <w:t>Ausstand von Mitgliedern der Beschwerdekammer (Art. 37 Abs. 1 BGG i.V.m. Art. 38 VGG analog).</w:t>
      </w:r>
    </w:p>
    <w:p>
      <w:pPr>
        <w:pStyle w:val="Heading2"/>
      </w:pPr>
      <w:r>
        <w:t>Erwägungen</w:t>
      </w:r>
    </w:p>
    <w:p>
      <w:r>
        <w:rPr>
          <w:b/>
        </w:rPr>
        <w:t>E. 2</w:t>
      </w:r>
    </w:p>
    <w:p>
      <w:r>
        <w:t>Mai 2011);</w:t>
      </w:r>
    </w:p>
    <w:p>
      <w:r>
        <w:t>- ein Richter in der gleichen Instanz im gleichen Verfahren gegen die gleiche Partei mehrmals gleiche Funktionen wahrnimmt, nicht von vornherein als unzulässig vorbefasst gilt; Vorbefasstheit jedoch immer dann anzunehmen ist, wenn sich ein Richter durch seine Mitwirkung an früheren Entscheidun- gen in der konkreten Streitsache in einzelnen Punkten bereits in einem Mass festgelegt hat, welches das Verfahren bzw. die Meinungsbildung nicht mehr als offen erscheinen lässt oder eine Betriebsblindheit zu be- fürchten ist, was anhand aller tatsächlichen und verfahrensrechtlichen Um- stände zu beurteilen ist (BGE 133 I 89 E. 3.3; 131 I 24 E. 1.3);</w:t>
      </w:r>
    </w:p>
    <w:p>
      <w:r>
        <w:t>- die Bundesanwaltschaft das Strafverfahren gegen die Beschuldigten B., A. und C. mit der Begründung einstellte, es sei kein Straftatbestand erfüllt (Art. 319 Abs. 1 lit. b StPO; BB.2013.11 act. 1.3);</w:t>
      </w:r>
    </w:p>
    <w:p>
      <w:r>
        <w:t>- der Spruchkörper der Beschwerdekammer daher zu prüfen hatte, ob eine klare Straflosigkeit oder das Fehlen einer Prozessvoraussetzung vorliegt und damit die Einstellung gerechtfertigt war, weshalb sie sich naturgemäss mit den zum damaligen Zeitpunkt vorliegenden Untersuchungsergebnissen auseinandersetzen musste und diese mit Bezug auf die (objektiven und subjektiven) Tatbestandselemente der zu untersuchenden Straftatbestände zu würdigen hatte;</w:t>
      </w:r>
    </w:p>
    <w:p>
      <w:r>
        <w:t>- sich der Spruchkörper der Beschwerdekammer in seinem Entscheid vom 18. Juni 2013 entgegen den Ausführungen des Gesuchstellers in keiner Weise mit Bezug auf das Vorliegen der objektiven und subjektiven Tatbe- standselemente verbindlich festlegte; der Spruchkörper der Beschwerde- kammer vielmehr ausführte, dass gerade hinsichtlich der subjektiven Tat- bestandselemente die bisherige Untersuchung nach wie vor wesentliche Fragen offen lasse, welche der Klärung bedürften (E. 2.4 und 3), und hin- sichtlich des objektiven Tatbestandes auf den Beschluss der I. Beschwer- dekammer vom 4. Juli 2011 verwies, worin diese unter anderem festgehal- ten hatte, es bestehe der Verdacht, dass die FINMA ihre Amtspflichten ver- letzt haben könnte und dass die objektiven Tatbestandsmerkmale der Ver- untreuung im Amt erfüllt sein könnten ("Damit wäre das Tatbestandsmerk- mal des anvertrauten Vermögenswertes erfüllt."; "Die unrechtmässige Ver- wendung der Vermögenswerte wäre darin zu sehen, dass […]", E. 4 und 5).; der Spruchkörper der Beschwerdekammer in seinem Entscheid vom</w:t>
      </w:r>
    </w:p>
    <w:p>
      <w:r>
        <w:t>- 6 -</w:t>
      </w:r>
    </w:p>
    <w:p>
      <w:r>
        <w:t>18. Juni 2013 diesbezüglich zwar ausführte, die I. Beschwerdekammer ha- be den objektiven Tatbestand der zu untersuchenden Straftatbestände be- jaht (E. 2.3); diese Aussage jedoch im Kontext zum ganzen Entscheid und insbesondere im Hinblick auf den Verweis zu den Ausführungen des Be- schlusses vom 4. Juli 2011 zu sehen ist und nicht dazu führt, dass davon auszugehen ist, der Spruchkörper habe nun seine Meinung zum Vorliegen des objektiven Tatbestandes abschliessend und in unverrückbarer Weise gebildet;</w:t>
      </w:r>
    </w:p>
    <w:p>
      <w:r>
        <w:t>- der Spruchkörper der Beschwerdekammer sich in seinem Entscheid vom 18. Juni 2013 somit hinsichtlich des Vorliegens der objektiven und subjekti- ven Tatbestandsmerkmale der zu untersuchenden Straftatbestände bzw. der Einstellungsvoraussetzungen gemäss Art. 319 StPO nicht bereits in einem Masse festgelegt hat, dass der Ausgang des Beschwerdeverfahrens BB.2014.84 nicht mehr offen wäre;</w:t>
      </w:r>
    </w:p>
    <w:p>
      <w:r>
        <w:t>- insbesondere keine Anhaltspunkte dafür bestehen, dass der Spruchkörper der Beschwerdekammer sich hinsichtlich der Argumente des Gesuchstel- lers im Beschwerdeverfahren BB.2014.84 verschliessen und diese nicht gebührend würdigen wird;</w:t>
      </w:r>
    </w:p>
    <w:p>
      <w:r>
        <w:t>- somit kein Ausstandsgrund im Sinne von Art. 56 lit. f StPO besteht, wes- halb das vorliegende Gesuch abzuweisen ist, soweit darauf einzutreten ist;</w:t>
      </w:r>
    </w:p>
    <w:p>
      <w:r>
        <w:t>- bei diesem Ausgang des Verfahrens der Gesuchsteller die Kosten zu tra- gen hat (Art. 59 Abs. 4 StPO), wobei diese auf Fr 2'000.-- festgesetzt wer- den (Art. 73 StBOG und Art. 5 und 8 Abs. 1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