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BB.2014.87 vom 26. August 2014</w:t>
      </w:r>
    </w:p>
    <w:p>
      <w:r>
        <w:t>Bundesstrafgericht, 2014-08-26, IT</w:t>
      </w:r>
    </w:p>
    <w:p>
      <w:r>
        <w:rPr>
          <w:b/>
        </w:rPr>
        <w:t xml:space="preserve">Quelle: </w:t>
      </w:r>
      <w:r>
        <w:t>https://mcp.opencaselaw.ch/entscheid/bstger_BB.2014.87</w:t>
      </w:r>
    </w:p>
    <w:p>
      <w:r>
        <w:t>FR: TPF BB.2014.87 du 26 août 2014</w:t>
      </w:r>
    </w:p>
    <w:p>
      <w:r>
        <w:t>IT: TPF BB.2014.87 del 26 agosto 2014</w:t>
      </w:r>
    </w:p>
    <w:p>
      <w:pPr>
        <w:pStyle w:val="Heading2"/>
      </w:pPr>
      <w:r>
        <w:t>Regeste</w:t>
      </w:r>
    </w:p>
    <w:p>
      <w:r>
        <w:t>Disgiunzione di procedimenti (art. 30 CPP). Effetto sospensivo (art. 387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gli scritti impu- gnati, datati 28 maggio 2014, sono stati notificati al reclamante in data 2 giu- gno 2014 (v. act. 1.1). Il reclamo, interposto il 6 giugno seguente, è pertanto tempestivo.</w:t>
      </w:r>
    </w:p>
    <w:p>
      <w:r>
        <w:rPr>
          <w:b/>
        </w:rPr>
        <w:t>E. 1.3</w:t>
      </w:r>
    </w:p>
    <w:p>
      <w:r>
        <w:t>Sono legittimate ad interporre reclamo contro una decisione le parti che hanno un interesse giuridicamente protetto all’annullamento o alla modifica della stessa (art. 382 cpv. 1 CPP). In concreto, il reclamante sostiene, riferendosi al contenuto della decisione del MPC impugnata, che "l'affermazione che la di- sgiunzione non lederebbe i diritti degli altri imputati non è condivisibile. Appare invece evidente che il diritto della Difesa imponga che tutti i membri della pre- sunta organizzazione che avrebbero agito ciascuno nel suo ruolo per compie-</w:t>
      </w:r>
    </w:p>
    <w:p>
      <w:r>
        <w:t>- 4 -</w:t>
      </w:r>
    </w:p>
    <w:p>
      <w:r>
        <w:t>re le attività rimproverate dall'AA, siccome effettuate nell'interesse dell'orga- nizzazione criminale, siano giudicati contemporaneamente. La loro stessa at- tendibilità appare di principio compromessa dalla loro estromissione dal pro- cesso anche per quanto attiene la valutazione delle loro responsabilità quali esecutori materiali di quelle attività che oltre a violare l'art. 260ter CP, sareb- bero per loro costitutive di altri reati, in particolare della violazione dell'art. 19 LStup (cfr. sentenza BB.2009.51, 53, 54, in particolare cons. 3.2)" (v. act. 1 pag. 5). In sede di replica egli aggiunge che "un giudizio unico s'impone, giac- ché solo se il TPF sarà posto in grado di verificare la posizione di tutti i coim- putati, anche in considerazione dei rapporti esistenti o meno tra di loro, sarà possibile determinare segnatamente se B. e C., così come gli altri coimputati a beneficio delle avversate disgiunzioni, hanno agito obbedendo a istruzioni del reclamante e/o dei altri coimputati in una logica di associazione criminale. La risposta a questo quesito, essenziale per un concreto esercizio dei diritti di di- fesa, implica la verifica contemporanea delle posizioni di tutti i coimputati dell'atto d'accusa e da essa può dipendere l'assoluzione del reclamante. Per- tanto la decisione impugnata, dal profilo sostanziale, pregiudica gli interessi della difesa del reclamante" (v. act. 14 pag. 3).</w:t>
      </w:r>
    </w:p>
    <w:p>
      <w:r>
        <w:t>Orbene, precisato che oggetto della presente procedura sono unicamente le decisioni di disgiunzioni del 28 maggio 2014 emesse nei confronti di B. e C. (v. act. 1.1 e 1.2) e non quelle di abbandono emesse nei confronti dei mede- simi del 13 maggio 2014 per titolo di organizzazione criminale (v. act. 8.2 e 8.3) e che il reclamante non è legittimato a far valere asserite lesioni di diritti di terzi e segnatamente di altri coaccusati eventualmente toccati dalle criticate decisioni da loro non impugnate, è d'uopo rilevare che il reclamante, con il suo gravame, non ha sostanziato l'esistenza di un interesse giuridicamente protet- to all'annullamento o alla modifica della decisione impugnata. Asserendo che solo un giudizio contemporaneo di tutti gli imputati garantirebbe il rispetto dei diritti della difesa - ciò che sembrerebbe costituire il suo pregiudizio derivante dalle decisioni impugnate -, egli omette di considerare che quest'ultime non lo privano del suo diritto di confrontarsi, nell'ambito di un eventuale dibattimento nei suoi confronti, con le dichiarazioni dei predetti e, se del caso, di farli inter- rogare (art. 6 n. 3 lett. d CEDU). È d'altra parte palese che la corte di merito, anche nel caso di una disgiunzione dei procedimenti, è tenuta a rispettare il principio della parità di trattamento tra i coaccusati, in particolare riguardo alla commisurazione della pena (v. sentenza del Tribunale federale 1B_200/2013 del 17 giugno 2013, consid. 1.4.3 e giurisprudenza citata).</w:t>
      </w:r>
    </w:p>
    <w:p>
      <w:r>
        <w:rPr>
          <w:b/>
        </w:rPr>
        <w:t>E. 2</w:t>
      </w:r>
    </w:p>
    <w:p>
      <w:r>
        <w:t>In definitiva, non avendo il reclamante dimostrato l'esistenza per lui di un pre- giudizio derivante dalle decisioni impugnate, il gravame deve essere dichiara- to inammissibile per mancanza di legittimazione ricorsuale.</w:t>
      </w:r>
    </w:p>
    <w:p>
      <w:r>
        <w:t>- 5 -</w:t>
      </w:r>
    </w:p>
    <w:p>
      <w:r>
        <w:rPr>
          <w:b/>
        </w:rPr>
        <w:t>E. 3</w:t>
      </w:r>
    </w:p>
    <w:p>
      <w:r>
        <w:t>Visto l'esito del reclamo, la domanda tendente alla concessione dell'effetto so- spensivo è divenuta priva d'oggetto.</w:t>
      </w:r>
    </w:p>
    <w:p>
      <w:r>
        <w:rPr>
          <w:b/>
        </w:rPr>
        <w:t>E. 4</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