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BB.2014.78 vom 3. Juni 2014</w:t>
      </w:r>
    </w:p>
    <w:p>
      <w:r>
        <w:t>Bundesstrafgericht, 2014-06-03, DE</w:t>
      </w:r>
    </w:p>
    <w:p>
      <w:r>
        <w:rPr>
          <w:b/>
        </w:rPr>
        <w:t xml:space="preserve">Quelle: </w:t>
      </w:r>
      <w:r>
        <w:t>https://mcp.opencaselaw.ch/entscheid/bstger_BB.2014.78</w:t>
      </w:r>
    </w:p>
    <w:p>
      <w:r>
        <w:t>FR: TPF BB.2014.78 du 3 juin 2014</w:t>
      </w:r>
    </w:p>
    <w:p>
      <w:r>
        <w:t>IT: TPF BB.2014.78 del 3 giugno 2014</w:t>
      </w:r>
    </w:p>
    <w:p>
      <w:pPr>
        <w:pStyle w:val="Heading2"/>
      </w:pPr>
      <w:r>
        <w:t>Regeste</w:t>
      </w:r>
    </w:p>
    <w:p>
      <w:r>
        <w:t>Vereinigung von Verfahren (Art. 30 StPO). Verfahrenshandlung der Bundesanwaltschaft (Art. 20 Abs. 1 lit. b i.V.m. Art. 393 Abs. 1 lit. a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 desgesetzes vom 19. März 2010 über die Organisation der Strafbehörden des Bundes [Strafbehördenorganisationsgesetz, StBOG, SR 173.71]). Zur Beschwerde berechtigt ist, wer ein rechtlich geschütztes Interesse an der Aufhebung oder Änderung des angefochtenen Entscheides hat (Art. 382 Abs. 1 i.V.m. Art. 105 Abs. 2 StPO; GUIDON, Die Beschwerde gemäss Schweizerischer Strafprozessordnung, Berner Diss., Zürich/St. Gal- len 2011, N. 247 ff.; PIQUEREZ/MACALUSO, Procédure pénale suisse,</w:t>
      </w:r>
    </w:p>
    <w:p>
      <w:r>
        <w:rPr>
          <w:b/>
        </w:rPr>
        <w:t>E. 1.2</w:t>
      </w:r>
    </w:p>
    <w:p>
      <w:r>
        <w:t>Die Beschwerde bringt unter anderem und nur en passant vor, dass die BA gestützt auf die Stellungnahme von B. entschieden habe, ohne dazu den Beschwerdeführer anzuhören. Mit Schreiben vom 15. Mai 2014 (act. 1.3)</w:t>
      </w:r>
    </w:p>
    <w:p>
      <w:r>
        <w:t>lehnte die BA generell ab, die Stellungnahme dem Beschwerdeführer zu- gänglich zu machen. Dies entspricht in der Tat dem Anspruch auf rechtliches Gehör nicht (vgl. statt vielen BGE 139 I 189 E. 3.2). Indes: Über Ausstandsgesuche entscheidet die BA, wenn die Bundespolizei betroffen ist (Art. 59 Abs. 1 lit. a StPO). Ihr Entscheid ist endgültig (Art. 59 Abs. 1 StPO). Bezeichnet dieses Gesetz einen Entscheid als endgültig oder nicht anfechtbar, so ist dagegen kein Rechtsmittel nach diesem Gesetz zulässig (Art. 380 StPO). Damit ist keine Beschwerdemöglichkeit nach Art. 393 ff. StPO gegeben (BGE 138 IV 222 E. 1). Auf die Beschwerde ist folglich nicht einzutreten. Der Antrag auf Verfahrensvereinigung ist damit gegenstandslos geworden.</w:t>
      </w:r>
    </w:p>
    <w:p>
      <w:r>
        <w:t>2. Die missverständliche Rechtsmittelbelehrung der Verfügung vom 12. Mai 2014 (Beschwerde nach StPO) wurde mit Schreiben vom 15. Mai 2014 präzisiert. Die Beschwerde wurde erst hernach, am 22. Mai 2014, erhoben. Damit hat die unzutreffende Rechtsmittelbelehrung keine Auswirkung auf die vorliegende Kostenverteilung.</w:t>
      </w:r>
    </w:p>
    <w:p>
      <w:r>
        <w:t>Bei diesem Ausgang des Verfahrens hat der Beschwerdeführer die Ge- richtskosten zu tragen (Art. 428 Abs. 1 StPO). Die Gerichtsgebühr ist auf Fr. 500.-- festzusetzen (Art. 73 StBOG i.V.m. Art. 5 und 8 Abs. 1 des Reg- lements des Bundesstrafgerichts vom 31. August 2010 über die Kosten, Gebühren und Entschädigungen in Bundesstrafverfahren [BStKR; SR 173.713.162]).</w:t>
      </w:r>
    </w:p>
    <w:p>
      <w:r>
        <w:rPr>
          <w:b/>
        </w:rPr>
        <w:t>E. 3</w:t>
      </w:r>
    </w:p>
    <w:p>
      <w:r>
        <w:t>Aufl., Genf/Zürich/Basel 2011, N. 1911).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