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BB.2014.76 vom 27. Mai 2014</w:t>
      </w:r>
    </w:p>
    <w:p>
      <w:r>
        <w:t>Bundesstrafgericht, 2014-05-27, DE</w:t>
      </w:r>
    </w:p>
    <w:p>
      <w:r>
        <w:rPr>
          <w:b/>
        </w:rPr>
        <w:t xml:space="preserve">Quelle: </w:t>
      </w:r>
      <w:r>
        <w:t>https://mcp.opencaselaw.ch/entscheid/bstger_BB.2014.76</w:t>
      </w:r>
    </w:p>
    <w:p>
      <w:r>
        <w:t>FR: TPF BB.2014.76 du 27 mai 2014</w:t>
      </w:r>
    </w:p>
    <w:p>
      <w:r>
        <w:t>IT: TPF BB.2014.76 del 27 maggio 2014</w:t>
      </w:r>
    </w:p>
    <w:p>
      <w:pPr>
        <w:pStyle w:val="Heading2"/>
      </w:pPr>
      <w:r>
        <w:t>Regeste</w:t>
      </w:r>
    </w:p>
    <w:p>
      <w:r>
        <w:t>Vereinigung von Verfahren (Art. 26 Abs. 2 i.V.m. Art. 28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und Verfahrenshandlungen der Bundesanwaltschaft kann bei der Beschwerdekammer des Bundesstrafgerichts Beschwerde er- hoben werden (Art. 393 Abs. 1 lit. a StPO i.V.m. Art. 37 Abs. 1 des Bun- desgesetzes vom 19. März 2010 über die Organisation der Strafbehörden des Bundes [Strafbehördenorganisationsgesetz, StBOG, SR 173.71]).</w:t>
      </w:r>
    </w:p>
    <w:p>
      <w:r>
        <w:rPr>
          <w:b/>
        </w:rPr>
        <w:t>E. 1.2</w:t>
      </w:r>
    </w:p>
    <w:p>
      <w:r>
        <w:t>Die Beschwerde verlangt, dass die sachliche Zuständigkeit des Bundes auch hinsichtlich der verzeigten unbekannten Staatsbediensteten festge- stellt werde. Indes: Sollen Verfahren gegen weitere Personen eröffnet wer- den, so wäre dies zuerst bei der Verfahrensleitung zu verlangen. Eine Nichtanhandnahme könnte dann mit Beschwerde angefochten werden. Die</w:t>
      </w:r>
    </w:p>
    <w:p>
      <w:r>
        <w:t>- 3 -</w:t>
      </w:r>
    </w:p>
    <w:p>
      <w:r>
        <w:t>Rechtsmittelinstanz kann nicht im Rahmen einer Zuständigkeitssfrage eine erstinstanzliche Beurteilung der Anhandnahme anstelle der funktionell zu- ständigen Behörde vornehmen (vgl. Entscheid des Bundesstrafge- richts BB.2014.49 vom 28. März 2014, E. 1.3). Überdies könnte der ausserordentliche Staatsanwalt mangels Ermächti- gung solche weiteren Verfahren gar nicht eröffnen. Damit fordert die Be- schwerde eigentlich, gegen weitere Personen Ermächtigungen zur Strafun- tersuchung zu erteilen, wofür die Beschwerdekammer ebenfalls nicht zu- ständig ist.</w:t>
      </w:r>
    </w:p>
    <w:p>
      <w:r>
        <w:rPr>
          <w:b/>
        </w:rPr>
        <w:t>E. 1.3</w:t>
      </w:r>
    </w:p>
    <w:p>
      <w:r>
        <w:t>Damit fehlt es vorliegend den erhobenen Rügen an einem zulässigen An- fechtungsobjekt. Die Beschwerde erweist sich damit als offensichtlich unzu- lässig, weshalb auf sie ohne Weiterungen nicht einzutreten ist (vgl. Art. 390 Abs. 2 StPO).</w:t>
      </w:r>
    </w:p>
    <w:p>
      <w:r>
        <w:rPr>
          <w:b/>
        </w:rPr>
        <w:t>E. 2</w:t>
      </w:r>
    </w:p>
    <w:p>
      <w:r>
        <w:t>Bei diesem Ausgang des Verfahrens haben die Beschwerdeführer die Ge- richtskosten solidarisch zu tragen (Art. 428 Abs. 1 StPO i.V.m. Art. 418 Abs. 2 StPO). Die Gerichtsgebühr ist auf Fr. 1'000.-- festzusetzen (Art. 73 StBOG i.V.m. Art. 5 und 8 Abs. 1 des Reglements des Bundes- strafgerichts vom 31. August 2010 über die Kosten, Gebühren und Ent- 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