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BB.2014.72 vom 18. Juli 2014</w:t>
      </w:r>
    </w:p>
    <w:p>
      <w:r>
        <w:t>Bundesstrafgericht, 2014-07-18, DE</w:t>
      </w:r>
    </w:p>
    <w:p>
      <w:r>
        <w:rPr>
          <w:b/>
        </w:rPr>
        <w:t xml:space="preserve">Quelle: </w:t>
      </w:r>
      <w:r>
        <w:t>https://mcp.opencaselaw.ch/entscheid/bstger_BB.2014.72</w:t>
      </w:r>
    </w:p>
    <w:p>
      <w:r>
        <w:t>FR: TPF BB.2014.72 du 18 juillet 2014</w:t>
      </w:r>
    </w:p>
    <w:p>
      <w:r>
        <w:t>IT: TPF BB.2014.72 del 18 luglio 2014</w:t>
      </w:r>
    </w:p>
    <w:p>
      <w:pPr>
        <w:pStyle w:val="Heading2"/>
      </w:pPr>
      <w:r>
        <w:t>Regeste</w:t>
      </w:r>
    </w:p>
    <w:p>
      <w:r>
        <w:t>Entschädigung der amtlichen Verteidigung (Art. 135 Abs. 3 StPO).</w:t>
      </w:r>
    </w:p>
    <w:p>
      <w:pPr>
        <w:pStyle w:val="Heading2"/>
      </w:pPr>
      <w:r>
        <w:t>Erwägungen</w:t>
      </w:r>
    </w:p>
    <w:p>
      <w:r>
        <w:rPr>
          <w:b/>
        </w:rPr>
        <w:t>E. 6</w:t>
      </w:r>
    </w:p>
    <w:p>
      <w:r>
        <w:t>Stunden betrage. Im Wesentlichen stützt er seine Argumentation auf die gemäss Honorarnote getätigten Aufwendungen.</w:t>
      </w:r>
    </w:p>
    <w:p>
      <w:r>
        <w:t>Schliesslich bringt der Beschwerdeführer vor, gemäss den Erwägungen des Appellationsgerichts werde der angemessene Aufwand für 6 Stunden mit CHF 1'200.-- beziffert, während dem im Dispositiv dann aber die CHF 1'200.-- auch die Barauslagen decken sollen. Er verweist auf seine Beilage 2 (Kostennote; act. 1.2) und führt aus, die ausgewiesenen Baraus-</w:t>
      </w:r>
    </w:p>
    <w:p>
      <w:r>
        <w:t>- 11 -</w:t>
      </w:r>
    </w:p>
    <w:p>
      <w:r>
        <w:t>lagen würden sich auf CHF 192.15 belaufen und seien ohnehin zu ent- schädigen (act. 1 S. 5).</w:t>
      </w:r>
    </w:p>
    <w:p>
      <w:r>
        <w:rPr>
          <w:b/>
        </w:rPr>
        <w:t>E. 6.1</w:t>
      </w:r>
    </w:p>
    <w:p>
      <w:r>
        <w:t>Sodann macht der Beschwerdeführer sinngemäss geltend, dass der ange- messene Aufwand 11 Stunden und 25 Minuten und nicht die geschätzten</w:t>
      </w:r>
    </w:p>
    <w:p>
      <w:r>
        <w:rPr>
          <w:b/>
        </w:rPr>
        <w:t>E. 6.2</w:t>
      </w:r>
    </w:p>
    <w:p>
      <w:r>
        <w:t>Wie einleitend erläutert, können mit der Beschwerde gemäss Art. 393 Abs. 2 StPO Rechtsverletzungen, einschliesslich Überschreitung und Miss- brauch des Ermessens, Rechtsverweigerung und Rechtsverzögerung (lit. a), die unvollständige oder unrichtige Feststellung des Sachverhalts (lit. b) sowie die Unangemessenheit (lit. c) gerügt werden.</w:t>
      </w:r>
    </w:p>
    <w:p>
      <w:r>
        <w:t>Ermessensmissbrauch ist gegeben, wenn das Gericht zwar im Rahmen des ihm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(s. GUIDON, a.a.O., N. 343, S. 143 unter Hinweis auf die zur früheren Verwaltungsgerichtsbeschwerde gemäss dem damals geltenden Bundesgesetz vom 16. Dezember 1943 über die Organisation der Bundesrechtspflege [aOG] ergangenen Recht- sprechung: BGE 123 V 150 E. 2; 116 V 310 E. 2; 114 V 87 E. 4b).</w:t>
      </w:r>
    </w:p>
    <w:p>
      <w:r>
        <w:t>Bei der Unangemessenheit geht es um die Frage, ob der zu überprüfende Entscheid, den das Gericht nach dem ihm zustehenden Ermessen im Ein- klang mit den allgemeinen Rechtsprinzipien in einem konkreten Fall getrof- fen hat, nicht zweckmässigerweise anders hätte ausfallen sollen (BGE 123 V 150 E. 2). Zwar sieht Art. 393 Abs. 2 lit. c StPO die Rüge der Unange- messenheit ausdrücklich vor (s. GUIDON, a.a.O., N. 373 f., S. 162 ff.). Aller- dings hat nach der Rechtsprechung auch eine Rechtsmittelbehörde, der volle Kognition zusteht, in Ermessenfragen einen Entscheidungsspielraum der Vorinstanz zu respektieren. Sie hat eine unangemessene Entscheidung zu korrigieren, kann aber der Vorinstanz die Wahl unter mehreren ange- messenen Lösungen überlassen (s. Urteil des Bundesgerichts 6B_758/2013 vom 11. November 2013, E. 1.2.2; BGE 127 II 238 E. 3b/aa S. 242; BGE 123 II 210 E. 2c S. 212 f.). Nach der in Bundesverwaltungssa- chen ergangenen Rechtsprechung des Bundesgerichts kann den Rekurs- instanzen, welche einen vorinstanzlichen Entscheid auf Angemessenheit zu überprüfen haben, zugebilligt werden, nicht ohne Not von der Auffas- sung der Vorinstanz abzuweichen, wenn es um die Beurteilung technischer oder wirtschaftlicher Spezialfragen geht, in denen die Vorinstanz über ein besonderes Fachwissen verfügt (BGE 130 II 440 E. 4.1; 116 Ib 270 E. 3b S. 273, mit zahlreichen Hinweisen auf das Schrifttum). Dies gilt – so das Bundesgericht in seiner Rechtsprechung – freilich dort nicht, wo von der Rekursinstanz verlangt werden kann, über vergleichbare Fachkenntnisse wie die Vorinstanz zu verfügen (BGE 116 Ib 270 E. 3c S. 273 f.; so im Falle</w:t>
      </w:r>
    </w:p>
    <w:p>
      <w:r>
        <w:t>- 12 -</w:t>
      </w:r>
    </w:p>
    <w:p>
      <w:r>
        <w:t>der Rekurskommission für Wettbewerbsfragen mit Bezug auf Entscheide des Preisüberwachers: BGE 130 II 449 E. 4.1). Eine Fach- Beschwerdeinstanz darf den Entscheid der Vorinstanz nur dann schützen, wenn sie geprüft hat, ob sich keine zweckmässigere, angemessenere Lö- sung anbietet. Mit Bezug auf die Rekurskommission für Wettbewerbsfra- gen, welche gebildet worden sei, um eine unabhängige richterliche, trotz- dem aber fachkundige Rechtsmittelinstanz sicherzustellen, hält das Bun- desgericht fest, dass kein Grund für eine besondere Einschränkung der Kognition bestehe (BGE 130 II 449 E. 4.1 S. 452). Die Beschwerdekammer des Bundesstrafgerichts entspricht allerdings nicht einer Fach- Beschwerdeinstanz im Sinne der vorgenannten Rechtsprechung, weshalb sich diese spezifische Praxis auch nicht im vorliegenden Verfahren über- tragen lässt. Vielmehr ist vorliegend die einleitend erläuterte bundesgericht- liche Rechtsprechung massgeblich, wonach auch eine Rechtsmittelinstanz, der volle Kognition zusteht, in Ermessenfragen einen Entscheidungsspiel- raum der Vorinstanz zu respektieren und sich die Überprüfungsbefugnis (so zum Beispiel in Bezug auf die Höhe der Genugtuung) auch bei voller Kognition auf eine Missbrauchskontrolle zu beschränkten hat (Urteil 6B_758/2013 vom 11. November 2013, E. 1.2.2). In der Lehre gehen diver- se Autoren ebenfalls davon aus, dass sich die Beschwerdeinstanz bei typi- schen Ermessensentscheiden wohl weiterhin eine "gewisse Zurückhaltung" auferlegen werde (so ANDREAS J. KELLER, Zürcher Kommentar StPO [Hrsg. Donatsch/Hansjakob/Lieber], Zürich 2010, Art. 393 N. 39; vgl. auch GUI- DON, a.a.O., N. 380, S. 168 f.; JEREMY STEPHENSON/GILBERT THIRIET, in: Basler Kommentar StPO, Basel 2011, Art. 393 N. 17; offen gelassen in NIKLAUS SCHMID, Schweizerische Strafprozessordnung Praxiskommentar, 2. Aufl., Zürich/St. Gallen 2013, Art. 393 N. 18). Nach der bundesgerichtli- chen Rechtsprechung kommt den Kantonen bei der Bemessung des Hono- rars eines amtlichen Verteidigers ein weiter Ermessensspielraum zu (BGE 118 Ia 133 E. 2b). Steht dem Sachrichter bei der Festsetzung einer Entschädigung ein weites Ermessen zu, hat sich in Nachachtung der erläu- terten bundesgerichtlichen Rechtsprechung (s. Urteil 6B_758/2013) die Überprüfungsbefugnis der Rechtsmittelinstanz in Bezug auf eine nach Er- messen festgelegte Höhe der Entschädigung demnach auf eine Miss- brauchskontrolle zu beschränken (im Unterschied zu der auf andere Rechtsgrundlagen sich stützenden, noch eingeschränkteren Kognition des Bundesgerichts, welches nur eingreift, wenn die Festsetzung des Honorars ausserhalb jeden vernünftigen Verhältnisses zu den vom Anwalt geleiste- ten Diensten steht und in krasser Weise gegen das Gerechtigkeitsgefühl verstösst; s. Urteil 6B_951/2013 vom 27. März 2014, E. 4.2).</w:t>
      </w:r>
    </w:p>
    <w:p>
      <w:r>
        <w:rPr>
          <w:b/>
        </w:rPr>
        <w:t>E. 6.3</w:t>
      </w:r>
    </w:p>
    <w:p>
      <w:r>
        <w:t>Nachfolgend ist somit zu prüfen, ob das Appellationsgericht mit der Zu- sprechung der Entschädigung in der fraglichen Höhe das ihr zustehende</w:t>
      </w:r>
    </w:p>
    <w:p>
      <w:r>
        <w:t>- 13 -</w:t>
      </w:r>
    </w:p>
    <w:p>
      <w:r>
        <w:t>Ermessen sachgerecht und mithin rechtsfehlerfrei oder missbräuchlich ausübt hat.</w:t>
      </w:r>
    </w:p>
    <w:p>
      <w:r>
        <w:t>Dabei ist in Erinnerung zu rufen, dass der öffentlich-rechtliche Entschädi- gungsanspruch sich nicht auf die Abgeltung aller getätigten Aufwendungen, sondern auf ein angemessenes Honorar unter Berücksichtigung des Zeit- aufwandes gemäss § 17 Abs. 1 und 2 AdvG/BS richtet. Gemäss § 17 Abs. 3 AdvG/BS werden die Auslagen und die Mehrwertsteuer, sofern sie im Einzelfall geschuldet ist, zusätzlich entschädigt. Bei der Festlegung der Entschädigung ist demnach grundsätzlich nach Honorar, Auslagen und Mehrwertsteuer zu unterscheiden. Wird keine Kostennote eingereicht und liegen damit im Zeitpunkt des Entscheides – wie im konkret zu beurteilen- den Fall – keine Angaben zu den Auslagen vor, ist allerdings eine pauscha- le Festlegung der Entschädigung in einem Gesamtbetrag, d.h. des Hono- rars inklusive Auslagen, praxisgemäss ohne Weiteres zulässig. Nach der verfassungsrechtlichen Minimalgarantie von Art. 29 Abs. 3 BV umfasst der Anspruch auf unentgeltlichen Rechtsbeistand nicht alles, was für die Wahrnehmung der Interessen des Mandanten von Bedeutung ist. Ein verfassungsrechtlicher Anspruch besteht gemäss Art. 29 Abs. 3 BV vielmehr einzig, soweit es zur Wahrung der Rechte notwendig ist. Der Be- griff der Notwendigkeit bestimmt nicht nur den qualitativen Anspruch (die Bestellung eines Rechtsbeistands), sondern auch den quantitativen (sprich den Umfang der Vergütung). Entschädigungspflichtig sind jene Aufwen- dungen, die in einem kausalen Zusammenhang mit der Wahrung der Rech- te im Verfahren stehen und notwendig und verhältnismässig sind. Nur in diesem Umfang lässt es sich rechtfertigen, die Kosten der Staatskasse oder gegebenenfalls dem Prozessgegner aufzuerlegen. Allerdings muss das Honorar so festgesetzt werden, dass der unentgeltlichen Rechtsvertre- tung ein Handlungsspielraum verbleibt und das Mandat wirksam ausgeübt werden kann (Urteil des Bundesgerichts 6B_130/2007 vom 11. Okto- ber 2007, E. 3.2.5).</w:t>
      </w:r>
    </w:p>
    <w:p>
      <w:r>
        <w:rPr>
          <w:b/>
        </w:rPr>
        <w:t>E. 6.4</w:t>
      </w:r>
    </w:p>
    <w:p>
      <w:r>
        <w:t>In seiner Beschwerde begnügt sich der Beschwerdeführer vorliegend im Wesentlichen damit, den gemäss Honorarnote getätigten Aufwand von</w:t>
      </w:r>
    </w:p>
    <w:p>
      <w:r>
        <w:rPr>
          <w:b/>
        </w:rPr>
        <w:t>E. 6.5</w:t>
      </w:r>
    </w:p>
    <w:p>
      <w:r>
        <w:t>Ist ein Ermessensmissbrauch nicht eruierbar, geht auch die letzte Rüge des Beschwerdeführers fehl und seine Beschwerde ist nach dem Gesagten in allen Punkten abzuweisen.</w:t>
      </w:r>
    </w:p>
    <w:p>
      <w:r>
        <w:t>7.</w:t>
      </w:r>
    </w:p>
    <w:p>
      <w:r>
        <w:t>7.1 Die Kosten des vorliegenden Beschwerdeverfahrens sind nach Massgabe des Obsiegens und Unterliegens der Parteien festzulegen (Art. 428 Abs. 1 StPO). Der Beschwerdeführer unterliegt vollständig, weshalb ihm die Ge- richtsgebühr von Fr. 1'500.-- zur Bezahlung aufzuerlegen ist (Art. 73 StBOG und Art. 5 und 8 Abs. 1 BStKR). 7.2 Dem Ausgang des Verfahrens entsprechend hat der Beschwerdeführer keinen Anspruch auf Entschädigung für seine Aufwendungen im vorliegen- den Beschwerdeverfahren.</w:t>
      </w:r>
    </w:p>
    <w:p>
      <w:r>
        <w:t>- 16 -</w:t>
      </w:r>
    </w:p>
    <w:p>
      <w:r>
        <w:rPr>
          <w:b/>
        </w:rPr>
        <w:t>E. 11</w:t>
      </w:r>
    </w:p>
    <w:p>
      <w:r>
        <w:t>Stunden und 25 Minuten dem durch das Appellationsgericht geschätz- ten Aufwand in der Höhe von 6 Stunden gegenüber zu stellen (act. 1 S. 5). In der Beschwerde führt er aus, dass die angeführten Aufwendungen "im Hinblick auf die Bedeutung der Sache für Herrn B. hinsichtlich Inhalt und Umfang ausgewiesen und angemessen" seien (act. 1 S. 5). Inwiefern das Appellationsgericht sein Ermessen missbräuchlich ausgeübt haben soll und mit der ausgesprochenen Entschädigung nicht alle notwendigen und ver-</w:t>
      </w:r>
    </w:p>
    <w:p>
      <w:r>
        <w:t>- 14 -</w:t>
      </w:r>
    </w:p>
    <w:p>
      <w:r>
        <w:t>hältnismässigen Bemühungen abgegolten worden sein sollen, legte der Beschwerdeführer indes nicht substantiiert dar.</w:t>
      </w:r>
    </w:p>
    <w:p>
      <w:r>
        <w:t>Aus den Akten ergibt sich der vom Beschwerdeführer getätigte Aufwand und diesen ist ohne weiteres zu entnehmen, dass der Hauptaufwand in der Ausarbeitung der Beschwerdeschrift besteht (Verfahrensakten, Urk. 1). Die Replik des Beschwerdeführers im Umfang von zweieinhalb Seiten (Verfah- rensakten, Urk. 8) bezieht sich auf die Beschwerdeantworten von Staats- anwaltschaft und Amt für Justizvollzug, welche in der Sache auf eine Stel- lungnahme verzichtet hatten (Verfahrensakten, Urk. 6 und 7), weshalb die Zustellung dieser Eingaben an den Beschwerdeführer lediglich zur Kennt- nisnahme erfolgt war. Die Beschwerdeschrift vom 2. April 2014 umfasst zwar insgesamt 16 Seiten. Über mindestens halb so viele Seiten verweist der Beschwerdeführer allerdings auf seine Eingabe vom 25. März 2014 beim Zwangsmassnahmengericht und kopierte "zwecks besserer Lesbar- keit" seine vorinstanzlichen Ausführungen ein (Verfahrensakten, Urk. 1 S. 3 ff.). Die Akten waren dem Beschwerdeführer, welcher gemäss eigenen Angaben ab November 2013 durch B. als Anwalt engagiert worden sei (Verfahrensakten, Urk. 1 S. 12), entsprechend bereits aus dem vorinstanz- lichen Verfahren vor dem Zwangsmassnahmengericht und damit vor Einlei- tung des Beschwerdeverfahrens beim Appellationsgericht zur Hauptsache bekannt. Hinzu gekommen ist im Wesentlichen das (gemäss Angaben des Beschwerdeführers) 15-minütige Telefongespräch mit Dr. D., dem zustän- digen Oberarzt im Spital E. (act. 1.2).</w:t>
      </w:r>
    </w:p>
    <w:p>
      <w:r>
        <w:t>Dass das Appellationsgericht das ihm zustehende Ermessen missbräuch- lich oder nicht sachgerecht und mithin nicht rechtsfehlerfrei ausübt hätte, indem es den angemessenen Aufwand auf 6 Stunden geschätzt und eine Entschädigung von gesamthaft CHF 1'200.-- ausgesprochen hat, ist unter diesen Umständen (s.o.) nicht ersichtlich. Es ist dem Beschwerdeführer in- sofern beizupflichten, als die Begründung im Entscheid, wonach der ange- messene Aufwand auf 6 Stunden zu schätzen ist, welche zu einem Stun- denansatz von CHF 200.-- zu entschädigen seien, auf den ersten Blick in Widerspruch zur Formulierung des Dispositivs (Zusprechung eines Hono- rars von CHF 1'200.--, einschliesslich Auslagen) zu stehen scheint. Der Beschwerdeführer verkennt indes vorliegend, dass für das Appellationsgericht der auf 6 Stunden geschätzte angemessen Aufwand lediglich die Grundlage für die Entschädigung im Gesamtbetrag von CHF 1'200.-- bildet. Wie aus dem Dispositiv eindeutig hervorgeht, betrach- tete das Appellationsgericht in diesem Betrag auch die Auslagen als abge- golten, gerade weil der angemessene Aufwand geschätzt worden war. Der Umstand, dass dies in den Erwägungen nicht explizit erwähnt wurde, än-</w:t>
      </w:r>
    </w:p>
    <w:p>
      <w:r>
        <w:t>- 15 -</w:t>
      </w:r>
    </w:p>
    <w:p>
      <w:r>
        <w:t>dert nichts am eindeutigen Rechtssinn der Entscheidung des Appellationsgerichts. Die Einwände des Beschwerdeführers gehen damit im Ergebnis an der Sache vorbei.</w:t>
      </w:r>
    </w:p>
    <w:p>
      <w:r>
        <w:t>Lediglich vollständigkeitshalber sei erwähnt, dass die Spesen gemäss sei- ner Beilage 2 CHF 115.-- und nicht, wie von ihm in der Beschwerde geltend gemacht, CHF 192.15 betragen. Der in seiner Beilage 2 genannte Betrag von CHF 192.13 bezieht sich in Wirklichkeit auf die MWST auf den Betrag von CHF 2'286.67 (act.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