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BB.2014.6 vom 9. Mai 2014</w:t>
      </w:r>
    </w:p>
    <w:p>
      <w:r>
        <w:t>Bundesstrafgericht, 2014-05-09, IT</w:t>
      </w:r>
    </w:p>
    <w:p>
      <w:r>
        <w:rPr>
          <w:b/>
        </w:rPr>
        <w:t xml:space="preserve">Quelle: </w:t>
      </w:r>
      <w:r>
        <w:t>https://mcp.opencaselaw.ch/entscheid/bstger_BB.2014.6</w:t>
      </w:r>
    </w:p>
    <w:p>
      <w:r>
        <w:t>FR: TPF BB.2014.6 du 9 mai 2014</w:t>
      </w:r>
    </w:p>
    <w:p>
      <w:r>
        <w:t>IT: TPF BB.2014.6 del 9 maggio 2014</w:t>
      </w:r>
    </w:p>
    <w:p>
      <w:pPr>
        <w:pStyle w:val="Heading2"/>
      </w:pPr>
      <w:r>
        <w:t>Regeste</w:t>
      </w:r>
    </w:p>
    <w:p>
      <w:r>
        <w:t>Confisca in caso di abbandono del procedimento (art. 320 cpv. 2 in relazione con l'art. 322 cpv. 2 CPP): causa divenuta priva d'oggetto.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parti possono impugnare entro dieci giorni il decreto di abbandono dinanzi alla Corte dei reclami penali del Tribunale penale federale (v. art. 322 cpv. 2 CPP).</w:t>
      </w:r>
    </w:p>
    <w:p>
      <w:r>
        <w:t>Il Tribunale penale federale esamina d'ufficio e con piena cognizione l'ammis- sibilità dei reclami che gli sono sottoposti senza essere vincolato, in tale ambi- to, dagli argomenti delle parti o dalle loro conclusioni (v. art. 391 cpv. 1 CPP nonché PATRICK GUIDON, Die Beschwerde gemäss schweizerischer Strafpro- zessordnung, tesi di laurea bernese, Zurigo/San Gallo 2011, pag. 265 con la giurisprudenza citata).</w:t>
      </w:r>
    </w:p>
    <w:p>
      <w:r>
        <w:rPr>
          <w:b/>
        </w:rPr>
        <w:t>E. 1.2</w:t>
      </w:r>
    </w:p>
    <w:p>
      <w:r>
        <w:t>Il reclamo contro decisioni comunicate per iscritto od oralmente va presentato e motivato entro dieci giorni (art. 396 CPP). Nella fattispecie, lo scritto impu- gnato, datato 27 dicembre 2013, è stato notificato al reclamante in data</w:t>
      </w:r>
    </w:p>
    <w:p>
      <w:r>
        <w:rPr>
          <w:b/>
        </w:rPr>
        <w:t>E. 1.3</w:t>
      </w:r>
    </w:p>
    <w:p>
      <w:r>
        <w:t>Sono legittimate ad interporre reclamo contro una decisione le parti che hanno un interesse giuridicamente protetto all’annullamento o alla modifica della stessa (art. 382 cpv. 1 CPP).</w:t>
      </w:r>
    </w:p>
    <w:p>
      <w:r>
        <w:rPr>
          <w:b/>
        </w:rPr>
        <w:t>E. 1.4</w:t>
      </w:r>
    </w:p>
    <w:p>
      <w:r>
        <w:t>Trattandosi di una misura di confisca di un conto bancario, di principio, solo il titolare degli stessi adempie questa condizione (v. sentenza del Tribunale pe- nale federale BB.2011.10/11 del 18 maggio 2011, consid. 1.5 e riferimenti ivi citati). In concreto, va rilevato che, invitato a produrre documentazione atte- stante i poteri di rappresentanza di tale K. in seno alla A. Corp., con la preci- sazione che in assenza della stessa il Tribunale non sarebbe entrato nel meri- to del gravame (v. act. 2), il patrocinatore della reclamante ha fatto pervenire a questa Corte copia dell'atto notarile, datato 22 novembre 1996, riferito alla nomina del suddetto quale presidente e direttore della società, nonché dell'e- stratto telematico, datato 21 febbraio 2008, del registro pubblico di Panama ri- guardante la medesima società, dove si attesta che il predetto ne è direttore e presidente (v. act. 5). Invitato a produrre un attestato più recente (v. act. 6), il patrocinatore in parola, pur intraprendendo i passi necessari all'uopo rivolgen- dosi alla società che si occupa della sua gestione (v. act. 10), non ha ottempe- rato a tale richiesta, informando telefonicamente questa Corte (a termine sca- duto) che tale inadempienza è dovuta a problemi finanziari della sua assistita (v. act. 7 e 11). Ora, visto quanto precede, vi è da chiedersi se il gravame pre- sentato soddisfa le condizioni formali poste dall'art. 385 CPP. La questione non necessita tuttavia di essere approfondita e la legittimazione ricorsuale può essere ammessa, dato che il reclamo è divenuto privo d'oggetto per i motivi che seguono.</w:t>
      </w:r>
    </w:p>
    <w:p>
      <w:r>
        <w:rPr>
          <w:b/>
        </w:rPr>
        <w:t>E. 2</w:t>
      </w:r>
    </w:p>
    <w:p>
      <w:r>
        <w:t>Con decisione di consegna di valori patrimoniali del 28 febbraio 2014 (v. act. 14.1), il MPC ha accolto la domanda di assistenza del Giudice delle in- dagini preliminari presso il Tribunale di Palermo presentata in data 4 lu- glio 2013, decidendo di trasmettere all'autorità rogante i valori patrimoniali de- positati sulle relazioni bancarie n. 1 e n. 2 presso la banca C. SA di Ginevra e riservando i diritti dell'UFG derivanti dall'accordo di ripartizione in applicazione della legge federale sulla ripartizione dei valori patrimoniali confiscati (LRVC; RS 312.4). Tale decisione non è stata impugnata né da B. SA né da A. Corp., per cui essa, scaduto il termine di ricorso, è cresciuta in giudicato, come co- municato dal MPC il 7 aprile scorso (v. act. 12). Orbene, non essendo i valori patrimoniali di cui sopra, parallelamente oggetto della presente procedura, più a disposizione e non potendo quindi più essere oggetto di confisca giusta l'art. 320 cpv. 2 CPP, il reclamo presentato dalla B. SA deve essere dichiarato privo d'oggetto e la causa stralciata quindi dal ruolo.</w:t>
      </w:r>
    </w:p>
    <w:p>
      <w:r>
        <w:t>- 7 -</w:t>
      </w:r>
    </w:p>
    <w:p>
      <w:r>
        <w:rPr>
          <w:b/>
        </w:rPr>
        <w:t>E. 3</w:t>
      </w:r>
    </w:p>
    <w:p>
      <w:r>
        <w:t>In base alla giurisprudenza di questa Corte in ambito di procedura penale or- dinaria, quando una causa diventa priva d'oggetto, i costi e le ripetibili vengo- no addossati alla parte che è all'origine di tale fatto (v. TPF 2011 31). In con- creto, occorre rilevare che l'autorità rogante ha chiesto il sequestro del conto della reclamante nel luglio 2005 (v. supra lett. C) e che la decisione di confisca italiana dei valori ivi depositati è divenuta definitiva il 5 ottobre 2011 (v. supra lett. J). Ora, se è vero che a differenza del caso menzionato in TPF 2011 31, nel presente caso il MPC non ha levato il sequestro del conto bancario, cio- nondimeno il reclamo qui pendente è divenuto privo d'oggetto a causa della decisione rogatoriale emanata il 28 febbraio 2014 dalla medesima autorità in- quirente. Risulta peraltro difficile comprendere perché il MPC abbia adottato questa decisione in costanza della causa (interna) di confisca, visto e conside- rato che le autorità italiane avevano inoltrato formale richiesta di confisca dei valori in questione già in data 4 luglio 2013, ossia quasi sei mesi prima della decisione di confisca autonoma qui impugnata (decretata il 27 dicembre 2013, lett. M supra). Ne scende che il reclamo è divenuto privo d'oggetto a causa dell'agire del MPC, per cui le spese procedurali concernenti il presente recla- mo devono essere assunte dalla Confederazione (v. art. 423 CPP; Messaggio concernente l'unificazione del diritto processuale penale del 21 dicembre 2005, FF 2006 pag. 1230; NIKLAUS SCHMID, Handbuch des schweizerischen Strafprozessrechts, 2a ediz., Zurigo/San Gallo 2013, n. 1777; YVONA GRIESSER, in Donatsch/Hansjakob/Lieber [ed.], Kommentar zur schweizeri- schen Strafprozessordnung, Zurigo/Basilea/Ginevra 2010, n. 4 ad art. 428 CPP; THOMAS DOMEISEN, Commentario basilese, Basilea 2011, n. 8 ad art. 428 CPP; GUIDON, op. cit., n. 566). Il MPC verserà alla reclamante un'in- dennità per le spese sostenute ai fini di un adeguato esercizio dei suoi diritti procedurali (v. art. 436 cpv. 1 CPP in relazione con art. 429 cpv. 1 lett. a CPP), la quale, in applicazione degli art. 10 e 12 cpv. 2 del regolamento del 31 agosto 2010 sulle spese, gli emolumenti, le ripetibili e le indennità della procedura penale federale (RSPPF; RS 173.713.162), è fissata a fr. 2'000.-- (IVA esclusa, dato che la reclamante ha il proprio domicilio all'estero, v. art. 1 cpv. 2 lett. a e 8 cpv. 1 della legge federale concernente l'imposta sul valore aggiunto; RS.641.20).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