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BB.2014.3 vom 28. Februar 2014</w:t>
      </w:r>
    </w:p>
    <w:p>
      <w:r>
        <w:t>Bundesstrafgericht, 2014-02-28, IT</w:t>
      </w:r>
    </w:p>
    <w:p>
      <w:r>
        <w:rPr>
          <w:b/>
        </w:rPr>
        <w:t xml:space="preserve">Quelle: </w:t>
      </w:r>
      <w:r>
        <w:t>https://mcp.opencaselaw.ch/entscheid/bstger_BB.2014.3</w:t>
      </w:r>
    </w:p>
    <w:p>
      <w:r>
        <w:t>FR: TPF BB.2014.3 du 28 février 2014</w:t>
      </w:r>
    </w:p>
    <w:p>
      <w:r>
        <w:t>IT: TPF BB.2014.3 del 28 febbraio 2014</w:t>
      </w:r>
    </w:p>
    <w:p>
      <w:pPr>
        <w:pStyle w:val="Heading2"/>
      </w:pPr>
      <w:r>
        <w:t>Regeste</w:t>
      </w:r>
    </w:p>
    <w:p>
      <w:r>
        <w:t>Confisca in caso di abbandono del procedimento (art. 320 cpv. 2 in relazione con l'art. 322 cpv. 2 CPP): legittimazione ricorsuale.</w:t>
      </w:r>
    </w:p>
    <w:p>
      <w:pPr>
        <w:pStyle w:val="Heading2"/>
      </w:pPr>
      <w:r>
        <w:t>Erwägungen</w:t>
      </w:r>
    </w:p>
    <w:p>
      <w:r>
        <w:rPr>
          <w:b/>
        </w:rPr>
        <w:t>E. 1.1</w:t>
      </w:r>
    </w:p>
    <w:p>
      <w:r>
        <w:t>Le parti possono impugnare entro dieci giorni il decreto di abbandono dinanzi alla Corte dei reclami penali del Tribunale penale federale (v. art. 322 cpv. 2 CPP).</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 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lo scritto impu- gnato, datato 27 dicembre 2013, è stato notificato al reclamante in data 30 di- cembre 2013 (v. act. 1.2). Il reclamo, interposto il 9 gennaio 2014, è pertanto tempestivo.</w:t>
      </w:r>
    </w:p>
    <w:p>
      <w:r>
        <w:rPr>
          <w:b/>
        </w:rPr>
        <w:t>E. 1.3</w:t>
      </w:r>
    </w:p>
    <w:p>
      <w:r>
        <w:t>Sono legittimate ad interporre reclamo contro una decisione le parti che hanno un interesse giuridicamente protetto all’annullamento o alla modifica della stessa (art. 382 cpv. 1 CPP).</w:t>
      </w:r>
    </w:p>
    <w:p>
      <w:r>
        <w:rPr>
          <w:b/>
        </w:rPr>
        <w:t>E. 1.4</w:t>
      </w:r>
    </w:p>
    <w:p>
      <w:r>
        <w:t>In materia di confisca di averi depositati su conti bancari, un interesse giuridi- camente protetto è riconosciuto a chi su tali valori vanta un diritto di proprietà o un diritto reale limitato, come ad esempio un diritto di pegno. Il titolare di a- veri bancari confiscati può parimenti avvalersi di un tale interesse, ritenuto come egli fruisca di un diritto personale di disposizione sul conto, equivalente economicamente ad un diritto reale sul denaro contante (v. DTF 133 IV 278 consid. 1.3 pag. 282 e seg.; 128 IV 145 consid. 1a pag. 148; 108 IV 154 con- sid. 1a pag. 155 e seg.). La legittimazione ricorsuale è per contro preclusa al detentore economico (azionista di una società o fiduciante) di un conto, in quanto toccato solo indirettamente. La qualità di avente diritto economico non fonda quindi un interesse giuridicamente protetto (sentenza del Tribunale fe- derale 1B_94/2012 del 2 aprile 2012, consid. 2.1 e giurisprudenza citata).</w:t>
      </w:r>
    </w:p>
    <w:p>
      <w:r>
        <w:t>Orbene, essendo il reclamante solo avente diritto economico della relazione bancaria n. 1 presso la banca D. SA (v. act. 4.2), conformemente alla giuri- sprudenza sopra citata, egli non dispone di alcun interesse giuridicamente protetto per opporsi alla confisca ed il suo reclamo deve pertanto essere di- chiarato inammissibile. Si rileva peraltro che la titolare del conto, B. SA, ha presentato un proprio ed autonomo reclamo contro la decisione di confisca (v. incarto BB.2014.5).</w:t>
      </w:r>
    </w:p>
    <w:p>
      <w:r>
        <w:t>- 6 -</w:t>
      </w:r>
    </w:p>
    <w:p>
      <w:r>
        <w:rPr>
          <w:b/>
        </w:rPr>
        <w:t>E. 2</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