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BB.2014.27 vom 19. November 2014</w:t>
      </w:r>
    </w:p>
    <w:p>
      <w:r>
        <w:t>Bundesstrafgericht, 2014-11-19, FR</w:t>
      </w:r>
    </w:p>
    <w:p>
      <w:r>
        <w:rPr>
          <w:b/>
        </w:rPr>
        <w:t xml:space="preserve">Quelle: </w:t>
      </w:r>
      <w:r>
        <w:t>https://mcp.opencaselaw.ch/entscheid/bstger_BB.2014.27</w:t>
      </w:r>
    </w:p>
    <w:p>
      <w:r>
        <w:t>FR: TPF BB.2014.27 du 19 novembre 2014</w:t>
      </w:r>
    </w:p>
    <w:p>
      <w:r>
        <w:t>IT: TPF BB.2014.27 del 19 novembre 2014</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FF 2006 1057, 1296 in fine; STEPHENSON/THIRIET, Commentaire bâ- lois, Schweizerische Strafprozessordnung, n° 15 ad art. 393; KELLER, Kommentar zur Schweizerischen Strafprozessordnung [StPO], 2ème éd. [Donatsch/Hansjakob/Lieber, édit.], Genève/Zurich/Bâle 2014, n° 39 ad art. 393; SCHMID, Handbuch des schweizerischen Strafprozessrechts, 2e éd., Zurich/Saint-Gall 2013, n°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Par décision BB.2011.130 du 20 mars 2012, la Cour de céans a admis la qualité de partie plaignante de la République de Tunisie dans l'enquête en cours (consid. 2). Elle considérait notamment que " […] il est admis que les droits de la République de Tunisie peuvent avoir été lésés par l’infraction supposée de blanchiment d’argent" (décision BB.2011.130 du 20 mars 2012, consid. 2.3.1). Par conséquent, dans la mesure où l'enquête du MPC sous les chefs de blanchiment d'argent et d'organisation criminelle se pour-</w:t>
      </w:r>
    </w:p>
    <w:p>
      <w:r>
        <w:t>- 5 -</w:t>
      </w:r>
    </w:p>
    <w:p>
      <w:r>
        <w:t>suit, que les relations bancaires bloquées l'ont été à ces titres et que la Ré- publique de Tunisie serait possiblement lésée par la restitution des sommes séquestrées à d'autres parties à la procédure, elle est légitimée à contester l'ordonnance rendue par le MPC.</w:t>
      </w:r>
    </w:p>
    <w:p>
      <w:r>
        <w:rPr>
          <w:b/>
        </w:rPr>
        <w:t>E. 1.4</w:t>
      </w:r>
    </w:p>
    <w:p>
      <w:r>
        <w:t>Déposé dans le délai de dix jours dès la notification du prononcé entrepris, le recours l'a été en temps utile. Par conséquent, le recours est recevable.</w:t>
      </w:r>
    </w:p>
    <w:p>
      <w:r>
        <w:rPr>
          <w:b/>
        </w:rPr>
        <w:t>E. 2</w:t>
      </w:r>
    </w:p>
    <w:p>
      <w:r>
        <w:t>Le séquestre prévu par l'art. 263 CPP est une mesure provisoire (conserva- toire) qui permet la saisie de moyens de preuve, respectivement d'objets ou de valeurs qui pourraient faire l'objet d'une confiscation en application du droit pénal fédéral (arrêt du Tribunal fédéral 1S.2/2004 du 6 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 tembre 2005, consid. 2.1; HEIMGARTNER, Strafprozessuale Beschla- gnahme, Zurich/Bâle/Genève 2011, p. 125 ss). Pour que le maintien du sé- questre pendant une période prolongée se justifie, il importe que ces pré- somptions se renforcent en cours d'enquête et que l'existence d'un lien de causalité adéquat entre les valeurs saisies et les actes délictueux puisse être considérée comme hautement vraisemblable (ATF 122 IV 91 consid. 4 p. 95; SCHMID, Schweizerische Strafprozessordnung, Praxiskommentar, 2e éd., Zurich/Saint Gall 2013, n° 5 ad art. 263; LEMBO/JULEN BERTHOD, Commentaire romand, Code de procédure pénale, Bâle 2011, n° 26 ad art. 263 CPP). La mesure doit par ailleurs reposer sur une base légale, être justifiée par un intérêt public suffisant et respecter le principe de la propor- tionnalité (v. art. 197 CPP),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(MOREILLON/DUPUIS/MAZOU, La pratique judiciaire du Tribunal pénal fédéral, in JdT 2012 IV 5 n° 43). Le séquestre peut aussi être ordonné en vue de l'exécution d'une créance compensatrice (art. 71 al. 3, 1re phrase CP).</w:t>
      </w:r>
    </w:p>
    <w:p>
      <w:r>
        <w:t>- 6 -</w:t>
      </w:r>
    </w:p>
    <w:p>
      <w:r>
        <w:rPr>
          <w:b/>
        </w:rPr>
        <w:t>E. 3.1</w:t>
      </w:r>
    </w:p>
    <w:p>
      <w:r>
        <w:t>Le MPC fonde son ordonnance sur les motifs suivants, qui se basent eux- mêmes sur un rapport du CCEF du 1er mai 2013: "les comptes personnels des frères A. et B. en Suisse ont enregistré, de la fin des années 1990 à 2010, pour plusieurs dizaines de millions de francs de virements en prove- nance directe ou indirecte de partenaires d'affaires, pour la plupart des grands groupes internationaux. Ces virements sont décrits comme des commissions, des commissions occultes, des droits d'exclusivité, des mon- tants payés suite à des contrats de non-concurrence, des commissions d'exportation/importation, des commissions liées à des surfacturations etc. […] Une part non négligeable des fonds est aussi entrée en espèces. Selon les premières clarifications, l'argent avait été prélevé […] en espèces sur d'autres établissements bancaires suisses dans un but de consolidation des avoirs. Des explications complémentaires avaient ensuite indiqué qu'une partie des versements en espèces relevait d'une rémunération en faveur de A. pour ses honoraires d'étude et de négociation en lien avec un projet de construction d'une chaîne de commerce de détail en Lybie […]" (act. 7, p. 3). Les sommes étaient ensuite réparties entre les comptes des frères A. et B. selon un système de "netting" (act. 7, p. 3). Lors de leurs au- ditions, les responsables des sociétés ayant versé certaines de ces sommes aux frères A. et B. soit ne se souvenaient de rien soit ont déclaré qu'elles correspondaient à des prestations réelles mais majorées (act. 7, p. 4-5). Le MPC conclut que "l'enquête n'a pas permis d'établir à satisfac- tion de droit que les avoirs détenus par B. et A. soient d'origine criminelle. Aucun élément ne vient non plus étayer les soupçons que ces avoirs aient été mis à disposition de l'organisation criminelle présumée du clan de l'an- cien président Ben Ali" (act. 7, p. 5-6). Les arguments de la recourante d'une part, des intimés d'autre part se fon- dent pour l'une sur le soupçon que les avoirs bloqués ont été générés par un pouvoir kleptocratique au détriment de la Tunisie, pour les autres sur leur origine licite.</w:t>
      </w:r>
    </w:p>
    <w:p>
      <w:r>
        <w:rPr>
          <w:b/>
        </w:rPr>
        <w:t>E. 3.2</w:t>
      </w:r>
    </w:p>
    <w:p>
      <w:r>
        <w:t>Il ressort de ce qui précède (infra, consid. 2) que si la mesure de séquestre, en tant que mesure de contrainte, doit être levée dès que ses conditions ont disparu, elle doit être maintenue tant que subsiste un doute sur l'origine licite de tout ou partie des sommes séquestrées ou que l'hypothèse du pro- noncé d'une créance compensatrice au sens de l'art. 71 CP n'est pas à ex- clure. Lorsque l'enquête est menée sous le chef d'accusation d'organisation criminelle (art. 260ter CP), il convient d'avoir la certitude, au moment de le- ver le séquestre sur des biens, que ceux-ci ne pourront être confisqués au sens de l'art. 72 CP, donc que la ou les personnes qui les possèdent n'ont pas participé ou soutenu une organisation criminelle.</w:t>
      </w:r>
    </w:p>
    <w:p>
      <w:r>
        <w:t>- 7 -</w:t>
      </w:r>
    </w:p>
    <w:p>
      <w:r>
        <w:t>En l'occurrence, les intimés sont toujours sous enquête pour organisation criminelle et blanchiment d'argent (infra, let. A). L'ordonnance querellée ne constitue pas un classement selon l'art. 319 CPP et ne saurait y être assi- milée quand bien même elle se prononcerait sur le destin de l'enquête elle- même (cf. ATF 138 IV 241, consid. 2.5). Si elle dit (act. 1.2, p. 3ii) "qu'il n'a pas été établi non plus que A. et B. aient participé ou soutenu le clan Ben Ali", la motivation y relative, ainsi que la réponse au recours (act. 7) ne por- tent que sur l'origine des sommes séquestrées et ne permettent pas de dire si la participation ou le soutien des intimés à une organisation criminelle en rapport avec le "clan Ben Ali" est, dans l'ensemble, définitivement exclue. Ainsi l'ordonnance querellée indique-t-elle par ailleurs que "l'état actuel de la procédure ne permet[tant] pas de conforter les soupçons de commission des infractions de blanchiment d'argent (art. 305bis CP) et de participation à une organisation criminelle (art. 260ter CP)" (act. 1.2, p. 3 in fine) tandis que la réponse du MPC fait mention des "éléments de preuve recueillis à ce jour" (act. 7, p. 5 in fine). Il faut dès lors supposer que l'enquête est suscep- tible de connaître encore des développements et il paraît donc que seule une décision ou tout au moins des considérants détaillés et définitifs quant à l'absence de participation ou de soutien des intimés à une organisation criminelle seraient susceptibles d'inverser la présomption prévue à l'art. 72 CP et, le cas échéant, de lever les sommes séquestrées en faveur des in- timés.</w:t>
      </w:r>
    </w:p>
    <w:p>
      <w:r>
        <w:rPr>
          <w:b/>
        </w:rPr>
        <w:t>E. 4</w:t>
      </w:r>
    </w:p>
    <w:p>
      <w:r>
        <w:t>Par conséquent, le recours est admis. L'ordonnance de levée de séquestre querellée est annulée.</w:t>
      </w:r>
    </w:p>
    <w:p>
      <w:r>
        <w:rPr>
          <w:b/>
        </w:rPr>
        <w:t>E. 5</w:t>
      </w:r>
    </w:p>
    <w:p>
      <w:r>
        <w:t>Compte tenu de l'issue du recours, les frais de la présente cause sont pris en charge par la Caisse de l'Etat (art. 428 al. 4 et 423 al. 1 CPP; le Mes- sage, FF 2006 1057, p. 1310; GRIESSER, Kommentar StPO, 2e éd., Zurich/Bâle/Genève 2014, n° 4 ad art. 428; SCHMID, op. cit., n° 1777).</w:t>
      </w:r>
    </w:p>
    <w:p>
      <w:r>
        <w:rPr>
          <w:b/>
        </w:rPr>
        <w:t>E. 6</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fédérale du 31 août 2010 (RFPPF; RS 173.713.162), les honoraires sont fixés en fonction du temps effective- ment consacré à la cause et nécessaire à la défense de la partie représen-</w:t>
      </w:r>
    </w:p>
    <w:p>
      <w:r>
        <w:t>- 8 -</w:t>
      </w:r>
    </w:p>
    <w:p>
      <w:r>
        <w:t>tée. En l'occurrence, une indemnité de CHF 2'000.-- (TVA comprise) appa- raît équitable. Celle-ci sera mise pour moitié à la charge des intimés soli- daires et pour moitié à la charge du MPC.</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