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BB.2014.22 vom 27. März 2014</w:t>
      </w:r>
    </w:p>
    <w:p>
      <w:r>
        <w:t>Bundesstrafgericht, 2014-03-27, DE</w:t>
      </w:r>
    </w:p>
    <w:p>
      <w:r>
        <w:rPr>
          <w:b/>
        </w:rPr>
        <w:t xml:space="preserve">Quelle: </w:t>
      </w:r>
      <w:r>
        <w:t>https://mcp.opencaselaw.ch/entscheid/bstger_BB.2014.22</w:t>
      </w:r>
    </w:p>
    <w:p>
      <w:r>
        <w:t>FR: TPF BB.2014.22 du 27 mars 2014</w:t>
      </w:r>
    </w:p>
    <w:p>
      <w:r>
        <w:t>IT: TPF BB.2014.22 del 27 marzo 2014</w:t>
      </w:r>
    </w:p>
    <w:p>
      <w:pPr>
        <w:pStyle w:val="Heading2"/>
      </w:pPr>
      <w:r>
        <w:t>Regeste</w:t>
      </w:r>
    </w:p>
    <w:p>
      <w:r>
        <w:t>Verfahrenssprache (Art. 3 StBOG)</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 desgesetzes vom 19. März 2010 über die Organisation der Strafbehörden des Bundes [Strafbehördenorganisationsgesetz, StBOG, SR 173.71]). Zur Beschwerde berechtigt ist, wer ein rechtlich geschütztes Interesse an der Aufhebung oder Änderung des angefochtenen Entscheides hat (Art. 382 Abs. 1 i.V.m. Art. 105 Abs. 2 StPO; GUIDON, Die Beschwerde gemäss Schweizerischer Strafprozessordnung, Berner Diss., Zürich/St. Gal- len 2011, N. 247 ff.; PIQUEREZ/MACALUSO, Procédure pénale suisse,</w:t>
      </w:r>
    </w:p>
    <w:p>
      <w:r>
        <w:rPr>
          <w:b/>
        </w:rPr>
        <w:t>E. 1.2</w:t>
      </w:r>
    </w:p>
    <w:p>
      <w:r>
        <w:t>Die Beschwerde richtet sich gegen das Schreiben der BA vom 31. Januar 2014 (act. 1.2), welches ablehnt, die Verfahrenssprache zu wechseln. Die BA macht geltend, es handle sich dabei um ein formloses Schreiben: Ein gültiges Anfechtungsobjekt fehle (act. 3 S. 2 Ziff. 2).</w:t>
      </w:r>
    </w:p>
    <w:p>
      <w:r>
        <w:t>Das besagte zweiseitige Schreiben der BA bezweckt, wie es selbst aus- führt, begründete Anträge eines Rechtsanwaltes zu beantworten. Ob eine Verfügung vorliegt, entscheidet sich alleine nach (allgemein bekannten) in- haltlichen Massgaben (statt vieler HÄFELIN/MÜLLER/UHLMANN, Allgemeines Verwaltungsrecht, Zürich/Basel/Genf 2006, N. 854 ff.). Diese liegen offen- kundig vor. Das Schreiben ermöglicht schliesslich eine gerichtliche Über- prüfung.</w:t>
      </w:r>
    </w:p>
    <w:p>
      <w:r>
        <w:t>- 4 -</w:t>
      </w:r>
    </w:p>
    <w:p>
      <w:r>
        <w:t>Zudem ist die Beschwerde generell gegen Verfahrenshandlungen zulässig. Die Verfahrenshandlung muss lediglich gegen aussen in Erscheinung tre- ten und die Verfahrensbeteiligten müssen unmittelbar beschwert sein. Un- erheblich ist dabei, ob die jeweilige Verfügung oder Verfahrenshandlung den Parteien mit dem Hinweis auf ein Beschwerderecht zur Kenntnis ge- bracht wurde (STEPHENSON/THIRIET, Basler Kommentar, Art. 393 StPO N. 6).</w:t>
      </w:r>
    </w:p>
    <w:p>
      <w:r>
        <w:t>Damit liegt jedenfalls ein gültiges Anfechtungsobjekt einer strafprozessua- len Beschwerde vor. Letztlich sind alle Voraussetzungen erfüllt (vgl. obige Erwägung 1.1), um auf die Beschwerde einzutreten.</w:t>
      </w:r>
    </w:p>
    <w:p>
      <w:r>
        <w:t>2.</w:t>
      </w:r>
    </w:p>
    <w:p>
      <w:r>
        <w:t>2.1 Der Beschwerdeführer beanstandet, dass nicht das Französische die Ver- fahrenssprache sei: Der Sitz der betroffenen Unternehmung liege im fran- zösischen Teil der Schweiz. Die Akten im internen Verkehr der B. SA seien auf Französisch verfasst und jedenfalls sicherlich nicht auf Deutsch. Eng- lisch und Chinesisch seien vom Deutschen ebenso weit entfernt wie vom Französischen. Zudem sei sowohl der Beschwerdeführer als auch ein wei- terer Beschuldigter französischer Muttersprache. Somit sei die französische Sprache klar als Verfahrenssprache zu wählen (act. 1 S. 5 f.; act. 7 S. 3–5). 2.2 Nach Art. 3 StBOG wird die Verfahrenssprache durch die Bundesanwalt- schaft bei der Eröffnung der Untersuchung bestimmt. Sie berücksichtigt dabei namentlich die Sprachkenntnisse der Verfahrensbeteiligten, die Sprache der wesentlichen Akten und die Sprache am Ort der ersten Unter- suchungshandlungen (Art. 3 Abs. 1 und 2 StBOG). Die Auflistung der Krite- rien ist nicht abschliessend (Botschaft zum Bundesgesetz über die Organi- sation der Strafbehörden des Bundes, BBl 2008 8125, S. 8147). Für sich genommen können weder interne organisatorische Erwägungen, noch eine rein arithmetische Betrachtungsweise der Verfahrensbeteiligten ausschlag- gebend sein. Die Bundesanwaltschaft verfügt über einen weiten Hand- lungsspielraum (TPF 2011 68 E. 2; Entscheide des Bundesstrafge- richts BB.2011.144 vom 1. März 2012, E. 2.1; BB.2012.10 vom</w:t>
      </w:r>
    </w:p>
    <w:p>
      <w:r>
        <w:rPr>
          <w:b/>
        </w:rPr>
        <w:t>E. 3</w:t>
      </w:r>
    </w:p>
    <w:p>
      <w:r>
        <w:t>Aufl., Genf/Zürich/Basel 2011, N. 1911).</w:t>
      </w:r>
    </w:p>
    <w:p>
      <w:r>
        <w:t>Die Beschwerde gegen schriftlich oder mündlich eröffnete Entscheide ist innert zehn Tagen schriftlich und begründet einzureichen (Art. 396 Abs. 1 StPO). Mit ihr können Rechtsverletzungen gerügt werden, ein- schliesslich Überschreitung und Missbrauch des Ermessens, Rechtsver- weigerung und Rechtsverzögerung (Art. 393 Abs. 2 lit. a StPO), sowie die unvollständige oder unrichtige Feststellung des Sachverhalts (Art. 393 Abs. 2 lit. b StPO) und die Unangemessenheit (Art. 393 Abs. 2 lit. c StPO).</w:t>
      </w:r>
    </w:p>
    <w:p>
      <w:r>
        <w:rPr>
          <w:b/>
        </w:rPr>
        <w:t>E. 4</w:t>
      </w:r>
    </w:p>
    <w:p>
      <w:r>
        <w:t>Bei diesem Ausgang des Verfahrens hat der Beschwerdeführer die Ge- richtskosten zu tragen (Art. 428 Abs. 1 StPO). Die Gerichtsgebühr wird auf Fr. 2'000.-- festgesetzt (Art. 73 StBOG i.V.m. Art. 5 und 8 Abs. 1 des Reg- 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