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BB.2014.168 vom 30. Juni 2015</w:t>
      </w:r>
    </w:p>
    <w:p>
      <w:r>
        <w:t>Bundesstrafgericht, 2015-06-30, FR</w:t>
      </w:r>
    </w:p>
    <w:p>
      <w:r>
        <w:rPr>
          <w:b/>
        </w:rPr>
        <w:t xml:space="preserve">Quelle: </w:t>
      </w:r>
      <w:r>
        <w:t>https://mcp.opencaselaw.ch/entscheid/bstger_BB.2014.168</w:t>
      </w:r>
    </w:p>
    <w:p>
      <w:r>
        <w:t>FR: TPF BB.2014.168 du 30 juin 2015</w:t>
      </w:r>
    </w:p>
    <w:p>
      <w:r>
        <w:t>IT: TPF BB.2014.168 del 30 giugno 2015</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[ci-après: Message CPP], FF 2006 1057, p. 1296 in fine; GUIDON, Commentaire bâlois, Schweizerische Strafprozessordnung, 2e éd., Bâle 2014, n° 15 ad art. 393; KELLER, Kommentar zur Schweizerischen Strafprozessordnung [StPO], Donatsch/Hansjakob/Lieber [édit.], Zu- rich/Bâle/Genève 2014, 2e éd., n° 39 ad art. 393; SCHMID, Handbuch des schweizerischen Strafprozessrechts, 2e éd., Zurich/Saint-Gall 2013,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 ronée des faits (let. b) ou l'inopportunité (let. c). Interjeté le 12 décembre 2014, le présent recours a été déposé dans le délai de dix jours dès la noti- fication de la décision attaquée, et a ainsi été formé en temps utile.</w:t>
      </w:r>
    </w:p>
    <w:p>
      <w:r>
        <w:rPr>
          <w:b/>
        </w:rPr>
        <w:t>E. 1.3</w:t>
      </w:r>
    </w:p>
    <w:p>
      <w:r>
        <w:t>Dispose de la qualité pour recourir toute partie qui a un intérêt juridique- ment protégé à l'annulation ou à la modification d'une décision (art. 382 al. 1 CPP; arrêt du Tribunal fédéral 1B_657/2012 du 8 mars 2013, con- 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 mandeur au pénal ou au civil». Conformément à l'art. 115 al. 1 CPP, est considérée comme lésée, «toute personne dont les droits ont été touchés directement par une infraction». L'art. 105 CPP reconnaît également la qualité de partie aux autres participants à la procédure, tels que le lésé (al. 1 let. a) ou la personne qui dénonce les infractions (al. 1 let. b), lors-</w:t>
      </w:r>
    </w:p>
    <w:p>
      <w:r>
        <w:t>- 4 -</w:t>
      </w:r>
    </w:p>
    <w:p>
      <w:r>
        <w:t>qu'ils sont directement touchés dans leurs droits et dans la mesure néces- saire à la sauvegarde de leurs intérêts (al. 2).</w:t>
      </w:r>
    </w:p>
    <w:p>
      <w:r>
        <w:rPr>
          <w:b/>
        </w:rPr>
        <w:t>E. 1.4</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 lation de la décision. En règle générale, seul peut se prévaloir d'une at- teinte directe le titulaire du bien juridique protégé par la disposition pénale qui a été enfreinte (ATF 129 IV 95 consid. 3.1 et les arrêts cités). Les droits touchés sont les biens juridiques individuels tels que la vie et l'intégrité cor- 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 mage apparaît comme la conséquence directe de l'acte dénoncé (ATF 129 IV 95 consid. 3.1 et les arrêts cités; arrêts du Tribunal fédéral 1B_723/2012 du 15 mars 2013, consid. 4.1; 1B_489/2011 du 24 janvier 2012, con- 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 bilité personnelle et subjective de ce dernier (arrêt du Tribunal fédéral 6B_266/2009 du 30 juin 2009, consid. 1.2.1). L'art. 115 al. 2 CPP ajoute que sont toujours considérées comme des lésés les personnes qui ont qua- 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 rés comme des lésés (Message CPP, ibid.).</w:t>
      </w:r>
    </w:p>
    <w:p>
      <w:r>
        <w:rPr>
          <w:b/>
        </w:rPr>
        <w:t>E. 1.5</w:t>
      </w:r>
    </w:p>
    <w:p>
      <w:r>
        <w:t>Une dénonciation ayant été déposée en l’espèce (in act. 1.2, p. 1; cf. dos- sier du MPC, dénonciation pénale), il convient en tout état de cause d'exa- miner si la recourante a qualité de lésée. Lorsque les faits ne sont pas défi- nitivement arrêtés, il faut se fonder sur les allégués de celui qui se prétend lésé pour déterminer si tel est le cas (ATF 119 IV 339 consid. 1d/aa).</w:t>
      </w:r>
    </w:p>
    <w:p>
      <w:r>
        <w:rPr>
          <w:b/>
        </w:rPr>
        <w:t>E. 1.5.1</w:t>
      </w:r>
    </w:p>
    <w:p>
      <w:r>
        <w:t>L'infraction de blanchiment d'argent (art. 305bis CP) vise en premier lieu à protéger l'administration de la justice. Toutefois, la jurisprudence a précisé que le blanchiment d'argent protégeait également les intérêts patrimoniaux de ceux qui sont lésés par le crime préalable lorsque les valeurs patrimo-</w:t>
      </w:r>
    </w:p>
    <w:p>
      <w:r>
        <w:t>- 5 -</w:t>
      </w:r>
    </w:p>
    <w:p>
      <w:r>
        <w:t>niales proviennent d'actes délictueux contre des intérêts individuels (arrêt du Tribunal fédéral 6B_549/2013 du 24 février 2014, consid. 2.2.3 et réfé- rence citée).</w:t>
      </w:r>
    </w:p>
    <w:p>
      <w:r>
        <w:rPr>
          <w:b/>
        </w:rPr>
        <w:t>E. 1.5.2</w:t>
      </w:r>
    </w:p>
    <w:p>
      <w:r>
        <w:t>Par jugement du 26 février 2014, la Cour Suprême tchèque a confirmé sur appel la condamnation de B. à dix et C. à neuf années de prison (dossier du MPC, pièce n° 05.100-0294) pour «crime of fraud under Section 209 (1), (5) (a) of the Act No 40/2009 Coll.» du Code pénal tchèque et à payer des dommages et intérêts à la recourante en tant que partie lésée («Under Section 228 [1] of the Criminal Procedure Code they were ordered to pay damages to the injured party, A., a.s. […]»; dossier du MPC, pièce n° 07.201-0004). Ladite autorité a reconnu que B. et C. ont causé à la re- courante un dommage respectivement d'au moins CZK 8'288'990'584.-- et CZK 2'213'580'730'80.-- (dossier du MPC, pièces nos 07.201-0026 et 07.201-0030).</w:t>
      </w:r>
    </w:p>
    <w:p>
      <w:r>
        <w:rPr>
          <w:b/>
        </w:rPr>
        <w:t>E. 1.6</w:t>
      </w:r>
    </w:p>
    <w:p>
      <w:r>
        <w:t>Au vu de ce qui précède, il sied de constater que le patrimoine de la recou- rante a directement été atteint et que son recours est recevable concernant le pan tchèque de l'affaire.</w:t>
      </w:r>
    </w:p>
    <w:p>
      <w:r>
        <w:rPr>
          <w:b/>
        </w:rPr>
        <w:t>E. 1.7</w:t>
      </w:r>
    </w:p>
    <w:p>
      <w:r>
        <w:t>Il apparaît en revanche que le recours est irrecevable quant au volet azéri de l'affaire, la recourante ne démontrant pas en quoi elle serait directement lésée par les infractions dénoncées. En effet, dans sa dénonciation, la re- courante relate, en substance, que dans le cadre du projet de privatisation par coupons d'une partie des entreprises annoncée par le gouvernement d'Azerbaïdjan au début des années 1990, B. est notamment parvenu à ob- tenir plus de USD 150'000'000.-- des investisseurs américains. Finalement, le gouvernement azéri a renoncé à son programme de privatisation et B. aurait conservé l'argent des investisseurs avant de s'enfuir aux Bahamas, d'où il n'a pu encore être extradé. En 2005, B. a été inculpé aux Etats-Unis pour blanchiment d'argent et corruption d'agents publics. Quant à Me F., il a été inculpé en 2003, puis condamné en 2013, par les autorités newyor- kaises pour complicité de corruption et blanchiment d'argent dans le cadre de cette affaire (dénonciation pénale, p. 8; dossier du MPC, pièces nos B 05.100-0390 ss, B 05.100-0414 et B 05.100-0418; in act. 1, n° 30, p. 7). Toutefois, la condamnation de Me F. aux Etats-Unis et son implica- tion dans des actes de corruption d'agents azéris ne permettent pas de re- tenir un lien avec les prétendus détournements de fonds en Azerbaïdjan in- tervenus au détriment de la recourante. Par ailleurs, l’infraction de corrup- tion d’agents publics vise à protéger la confiance de la collectivité dans l’objectivité et l’impartialité de l’action de l’Etat (Message du 19 avril 1999 concernant la révision des dispositions pénales applicables à la corruption;</w:t>
      </w:r>
    </w:p>
    <w:p>
      <w:r>
        <w:t>- 6 -</w:t>
      </w:r>
    </w:p>
    <w:p>
      <w:r>
        <w:t>FF 1999 5045, p. 5072). La corruption pervertit le processus de décision au sein de l’administration, dessert l’intérêt public et affaiblit l’Etat, qui peut être le lésé d’une telle infraction (arrêt du Tribunal fédéral 6B_908/2009 du</w:t>
      </w:r>
    </w:p>
    <w:p>
      <w:r>
        <w:rPr>
          <w:b/>
        </w:rPr>
        <w:t>E. 1.8</w:t>
      </w:r>
    </w:p>
    <w:p>
      <w:r>
        <w:t>Néanmoins, la question de la légitimation de la recourante peut rester ou- verte en l'espèce au vu des considérations qui vont suivre et du sort du re- cours.</w:t>
      </w:r>
    </w:p>
    <w:p>
      <w:r>
        <w:t>2. La recourante conteste le prononcé de non-entrée en matière. Elle re- proche en substance au MPC de ne pas avoir instruit la prévention de blanchiment d'argent alors que, selon elle, les fonds détournés par B. et C. ont été transférés à des trusts, à tout le moins partiellement, lesquels ont été constitués – et pour certains administrés – par des intermédiaires fi- nanciers suisses (act. 1, n° 44, p. 10). La recourante allègue notamment que dès 1997, des paiements ont au surplus été effectués, sur ordre de B., par I. en faveur entre autres de l'Etude E., de la société J. AG et de la so- ciété K. AG, sur trois comptes sis en Suisse (act. 1, n° 49, p. 12). Ces vi- rements auraient été effectués par les anciens dirigeants de la recourante, précisément au moment où les fonds de cette dernière étaient systémati- quement vidés de leurs actifs par B. et C. (act. 1, n° 50, p. 12). La recou- rante estime qu'il appert que des conseils et intermédiaires financiers suisses ont été utilisés dès le départ dans la mise en place et l'exécution des transactions initiales et des transferts subséquents des fonds détour- nés par B. et C. à des sociétés écrans contrôlées par B. (act. 1, n° 58, p. 13). Ainsi, elle conteste les motifs avancés par le MPC à l'appui de son ordonnance de non-entrée en matière, selon lesquels d'une part les soup-</w:t>
      </w:r>
    </w:p>
    <w:p>
      <w:r>
        <w:t>- 7 -</w:t>
      </w:r>
    </w:p>
    <w:p>
      <w:r>
        <w:t>çons ne seraient pas suffisants pour fonder une instruction pénale et d'autre part la prescription serait en tout cas atteinte (act. 1, n° 79, p. 16). Elle se prévaut enfin d'une violation de l'art. 310 al. 1 CPP en tant qu'elle considère que les conditions pour le prononcé d'une ordonnance de non- entrée en matière ne sont pas réalisées. Elle estime en outre que le pro- noncé attaqué viole la maxime inquisitoire consacrée par les art. 6 al. 1 et 7 al. 1 CPP (act. 1, n° 80, p. 16).</w:t>
      </w:r>
    </w:p>
    <w:p>
      <w:r>
        <w:t>2.1 Selon l'art. 305bis CP, celui qui aura commis un acte propre à entraver l'identification de l'origine, la découverte ou la confiscation de valeurs pa- trimoniales dont il savait ou devait présumer qu'elles provenaient d'un crime, sera puni d'une peine privative de liberté de trois ans au plus ou d'une peine pécuniaire (ch. 2). Le délinquant est aussi punissable lorsque l'infraction principale a été commise à l'étranger et lorsqu'elle est aussi pu- nissable dans l'Etat où elle a été commise (ch. 3). L'art. 305bis CP présup- pose que les valeurs patrimoniales proviennent d'une infraction principale préalable constitutive de crime au sens de l'art. 10 al. 2 CP (arrêt du Tribu- nal fédéral 6B_197/2014 du 9 mars 2015, consid. 4.1).</w:t>
      </w:r>
    </w:p>
    <w:p>
      <w:r>
        <w:t>2.2 Quant à l'art. 309 al. 1 let. a CPP, il impose au ministère public d'ouvrir une instruction lorsqu'il ressort du rapport de police, des dénonciations ou de ses propres constatations des soupçons suffisants laissant présumer qu'une infraction a été commise (let. a), lorsqu'il ordonne des mesures de contraintes (let. b) ou lorsqu'il est informé par la police d'infractions graves et de tout événement sérieux (let. c et art. 307 al. 1 CPP). Des soupçons sont suffisants au sens de l'art. 309 al. 1 let. a CPP lorsqu'ils sont concrets et portent sur des faits pertinents (CHERPILLOD, Arrêt de la procédure pé- nale par le ministère public sans condamnation, ni instruction: l'ordonnance de non-entrée en matière, RPS 133/2015 p. 192 ss, p. 201; arrêts du Tri- bunal fédéral 6B_1105/2013 du 18 juillet 2014, consid. 3.1 et 6B_830/2013 du 10 décembre 2013, consid. 1.4). Le ministère public renonce à ouvrir une instruction lorsqu'il rend immédiatement une ordonnance de non- entrée en matière (art. 309 al. 4 CPP).</w:t>
      </w:r>
    </w:p>
    <w:p>
      <w:r>
        <w:t>2.3 Conformément à l'art. 310 al. 1 let. a CPP, le ministère public rend immé- diatement une ordonnance de non-entrée en matière s'il ressort de la dé- nonciation ou du rapport de police que les éléments constitutifs de l'infrac- tion ou les conditions à l'ouverture de l'action pénale ne sont manifeste- ment pas réunis. Cette disposition doit être appliquée conformément à l'adage in dubio pro duriore (arrêt du Tribunal fédéral 6B_127/2013 du</w:t>
      </w:r>
    </w:p>
    <w:p>
      <w:r>
        <w:rPr>
          <w:b/>
        </w:rPr>
        <w:t>E. 3</w:t>
      </w:r>
    </w:p>
    <w:p>
      <w:r>
        <w:t>Il sied dès lors d'examiner si, comme le soutient le MPC dans la décision entreprise, les faits dénoncés par la recourante dans le volet tchèque de l'affaire sont prescrits (act. 1.2, p. 4 ss).</w:t>
      </w:r>
    </w:p>
    <w:p>
      <w:r>
        <w:rPr>
          <w:b/>
        </w:rPr>
        <w:t>E. 3.1</w:t>
      </w:r>
    </w:p>
    <w:p>
      <w:r>
        <w:t>Le blanchiment d’argent présuppose un crime qui ne soit pas atteint par la prescription au moment où l’acte d’entrave est commis. Lorsque l’infraction principale a été commise à l’étranger, l’avènement de la prescription se dé- termine en premier lieu selon le droit étranger (ATF 126 IV 255, JdT 2001 IV 127).</w:t>
      </w:r>
    </w:p>
    <w:p>
      <w:r>
        <w:rPr>
          <w:b/>
        </w:rPr>
        <w:t>E. 3.2</w:t>
      </w:r>
    </w:p>
    <w:p>
      <w:r>
        <w:t>Les faits décrits dans le jugement tchèque du 26 février 2014 (dossier du MPC, pièce n° 07.201.0004) constituent, prima facie, des crimes selon le droit suisse qui pourraient être qualifiés d'abus de confiance (art. 138 CP), d'escroquerie (art. 146 CP) ou de gestion déloyale (art. 158 CP). En l'es- pèce, il ressort du dossier que le jugement sur recours de la «Municipal Court In Prague» du 17 octobre 2012 a été confirmé par un jugement défi- nitif de la «Supreme Court» le 26 février 2014 (dossier du MPC, pièces nos 07.201-0004 ss et 07.201-0097). C. et B. ont été condamnés pour fraude à respectivement neuf et dix années d'emprisonnement et le Code pénal tchèque (entré en vigueur le 1er janvier 2010 [Loi n° 40/2009; ci- après: CPCZ]) prévoit une prescription de la peine de dix ans pour les con- damnations de plus de cinq ans et de quinze ans pour celles de plus de dix ans (art. 68 CPCZ). La procédure tchèque à l'encontre des deux prénom- més ayant abouti à leur condamnation, il sied d'en déduire sans plus ample examen que les faits poursuivis et condamnés à l'étranger ne sont pas prescrits. Il en va de même de la peine prononcée au regard du droit tchèque précité. Ainsi, il convient de retenir que le crime préalable n'est clairement pas prescrit au regard du droit tchèque.</w:t>
      </w:r>
    </w:p>
    <w:p>
      <w:r>
        <w:rPr>
          <w:b/>
        </w:rPr>
        <w:t>E. 3.3</w:t>
      </w:r>
    </w:p>
    <w:p>
      <w:r>
        <w:t>Selon lesdits jugements, les détournements en République tchèque au pré- judice de la recourante se sont échelonnés entre 1995 et 1996 (dossier du MPC, pièces nos 05.100-0269, 05.100-0287, 07.201-0005 et 07.201-0024).</w:t>
      </w:r>
    </w:p>
    <w:p>
      <w:r>
        <w:t>- 10 -</w:t>
      </w:r>
    </w:p>
    <w:p>
      <w:r>
        <w:rPr>
          <w:b/>
        </w:rPr>
        <w:t>E. 3.4</w:t>
      </w:r>
    </w:p>
    <w:p>
      <w:r>
        <w:t>Dans sa dénonciation pénale, la recourante allègue que dans la mesure où les actifs détournés sont blanchis de manière continue en Suisse, la pres- cription ne saurait intervenir (dénonciation pénale, p. 18). Quant au MPC, il a retenu dans l'ordonnance entreprise que la prescription était acquise pour l'infraction de blanchiment d'argent, que ce soit selon le nouveau ou l'an- cien droit et même si le blanchiment qualifié (art. 305bis ch. 2 CP) devait être retenu (act. 1.2, p. 4 ss). Il a en effet estimé que les faits à la base de la dénonciation pénale qui pourraient être pertinents d'un point de vue pé- nal datent d'avant 1999 et son par conséquent prescrits. La recourante fait valoir que le MPC ne peut retenir, sans avoir au préalable instruit la cause, que des actes de blanchiment d'argent n'ont pas été commis en Suisse après 1999 (act. 1, n° 105 s, p. 21).</w:t>
      </w:r>
    </w:p>
    <w:p>
      <w:r>
        <w:rPr>
          <w:b/>
        </w:rPr>
        <w:t>E. 3.5</w:t>
      </w:r>
    </w:p>
    <w:p>
      <w:r>
        <w:t>Le principe de la lex mitior (art. 2 al. 2 CP) s'applique en matière d'acquisi- tion de la prescription de l'action pénale (art. 389 CP; ATF 129 IV 49 con- sid. 5.1 p. 51). L'autorité de jugement doit donc déterminer quel droit, de l'ancien ou du nouveau, est le plus favorable à l'accusé (DUPUIS ET AL., Pe- tit Commentaire, Code pénal, Bâle 2012, n° 10 des remarques prélimi- naires aux articles 97 à 101 CP).</w:t>
      </w:r>
    </w:p>
    <w:p>
      <w:r>
        <w:rPr>
          <w:b/>
        </w:rPr>
        <w:t>E. 3.6</w:t>
      </w:r>
    </w:p>
    <w:p>
      <w:r>
        <w:t>Par la novelle du 5 octobre 2001, entrée en vigueur le 1er octobre 2002 (RO 2002 2993, p. 2996), le droit suisse a opéré une révision importante de la réglementation relative à la prescription.</w:t>
      </w:r>
    </w:p>
    <w:p>
      <w:r>
        <w:t>D’une part, la novelle du 5 octobre 2001 a aboli le système de la suspen- sion et de l'interruption de la prescription, prévue à l'art. 72 de l’ancien droit (ci-après: aaCP). Selon cette disposition (ch. 2 al. 1), la prescription était in- terrompue par tout acte d'instruction d'une autorité chargée de la poursuite ou par toute décision du juge dirigée contre l'auteur, notamment par les ci- tations et les interrogatoires, les mandats d'arrêt ou de visite domiciliaire. À chaque interruption, un nouveau délai de prescription commençait à courir. Néanmoins, l'art. 72 ch. 2 al. 2 aaCP disposait que l'action pénale était en tout cas prescrite lorsque le délai ordinaire était dépassé de moitié (pres- cription absolue). La novelle du 5 octobre 2001 a aboli ce système en pré- voyant que la prescription ne courait plus si, avant son échéance, un juge- ment de première instance avait été rendu (art. 70 al. 3 aCP). D’autre part, la novelle a allongé les délais de prescription de l’action pénale. Tandis que l'action pénale se prescrivait, sous l’ancien droit, par 20 ans pour les infrac- tions passibles de la réclusion à vie, par 10 ans pour les infractions pas- sibles de l'emprisonnement pour plus de 3 ans ou de la réclusion et par 5 ans pour les infractions passibles d'une autre peine (art. 70 aaCP; prescrip- tion relative ou ordinaire), la révision a porté la prescription de l'action pé-</w:t>
      </w:r>
    </w:p>
    <w:p>
      <w:r>
        <w:t>- 11 -</w:t>
      </w:r>
    </w:p>
    <w:p>
      <w:r>
        <w:t>nale à respectivement 30 ans, 15 ans et 7 ans pour les mêmes infractions (art. 70 al. 1 lit. a à c aCP). Les modifications introduites par la novelle du</w:t>
      </w:r>
    </w:p>
    <w:p>
      <w:r>
        <w:rPr>
          <w:b/>
        </w:rPr>
        <w:t>E. 3.7</w:t>
      </w:r>
    </w:p>
    <w:p>
      <w:r>
        <w:t>Quel que soit le droit appliqué, la prescription court du jour où le délinquant a exercé son activité coupable (art. 98 let. a CP, art. 71 let. b aCP, art. 71 al. 1 aaCP), ce jour n'étant pas pris en compte (ATF 107 Ib 74 consid. 3a p. 75). Si le délinquant a exercé son activité coupable à plusieurs reprises, la prescription court du jour du dernier acte (art. 98 let. b CP, art. 71 let. b aCP, art. 71 al. 2 aaCP). L'art. 98 let. b CP (et les art. 71 let. b aCP et 71 al. 2 aaCP) vise plusieurs actes qui forment une unité. L'ancienne jurispru- dence du Tribunal fédéral appliquait cette disposition sur la base de la fi- gure de l'unité sous l'angle de la prescription (ATF 127 IV 49 consid. 1b p. 54 s.). Par la suite cependant, le Tribunal fédéral a abandonné la figure de l'unité de la prescription (ATF 132 IV 49 consid. 3.1.1.3 p. 54 s.). Dé- sormais, il applique l'art. 98 let. b CP en cas d'unité juridique ou naturelle d'actions entre les différents actes commis. S'agissant de l'unité juridique d'actions, elle existe lorsque le comportement défini par la norme présup- pose, par définition, de fait ou typiquement, la commission d'actes séparés (par exemple: le brigandage, art. 140 CP), mais aussi lorsque la norme dé- finit un comportement durable se composant de plusieurs actes (par exemple: la gestion fautive, art. 165 CP). Quant à l'unité naturelle d'actions, elle existe lorsque des actes séparés procèdent d'une décision unique et apparaissent objectivement comme des événements formant un ensemble en raison de leur relation étroite dans le temps et dans l'espace (ATF 132 IV 49 consid. 3.1.1.3 p. 54 s.).</w:t>
      </w:r>
    </w:p>
    <w:p>
      <w:r>
        <w:t>- 12 -</w:t>
      </w:r>
    </w:p>
    <w:p>
      <w:r>
        <w:rPr>
          <w:b/>
        </w:rPr>
        <w:t>E. 3.8</w:t>
      </w:r>
    </w:p>
    <w:p>
      <w:r>
        <w:t>En l'espèce, la recourante dénonce des actes d'entrave qui auraient pris la forme de mise en place et administration de structures de sociétés et de trusts par le biais d'une étude d'avocats sise en Suisse; achat d'un bien immobilier à Z. (USA) par le biais de l'étude d'avocats sise en Suisse; paiements effectués sur des comptes bancaires suisses de l'étude d'avo- cats sise en Suisse ainsi que d'autres sociétés; ordres de transferts de fonds donnés pour exécution à Me F., basé en Suisse et dépôt de certifi- cats d'actions au sein de l'étude d'avocats sise en Suisse (act. 1.2, p. 1; dénonciation pénale, p. 9 ss). La recourante relate en effet qu'entre dé- cembre 1993 et novembre 1995, au moins neuf trusts auraient été fondés et administré depuis la Suisse et que la mère de B., D., aurait été artificiel- lement désignée comme bénéficiaire finale. La propriété «L.» à Z., aurait été acquise en juin 1997 (dossier du MPC, pièces n° B 05.100-0427). La recourante allègue que le 30 décembre 1997 un contrat de vente a été conclu entre elle – alors représentée par C. – et H. Ltd, société détenue par B., par lequel la première a transféré tous ses actifs à la seconde (dossier du MPC, pièces nos B 05.100-0509 ss) et que des certificats d'actions ont été déposés en l'Etude E. à Zurich. Celle-là mentionne également des paiements dès 1997 sur ordre de B. en faveur de ladite étude, des sociétés J. AG et K. AG sur des comptes suisses ouverts auprès des banques M., N. et O. La recourante fait part en outre d'un versement opéré en 1998 de USD 6'000'000.-- qui serait en lien avec l'affaire (dénonciation pénale, p. 13 s).</w:t>
      </w:r>
    </w:p>
    <w:p>
      <w:r>
        <w:rPr>
          <w:b/>
        </w:rPr>
        <w:t>E. 3.9</w:t>
      </w:r>
    </w:p>
    <w:p>
      <w:r>
        <w:t>À supposer qu'il s'agisse d'un cas de blanchiment d'argent qualifié, pas- sible d'une peine privative de liberté de cinq ans au plus (art. 305bis ch. 2 CP) et au vu de ce qui précède (supra consid. 3.6), le délai de prescription serait, à l'instar de ce qu'a déjà constaté le MPC dans la décision attaquée (act. 1.2, p. 6) et indépendamment du droit appliqué, de quinze ans. Dès lors, à ce jour, les faits dénoncés antérieurs à 2000 sont sans équivoque prescrits. L'ordonnance de non-entrée en matière du MPC se justifie par conséquent pleinement à cet égard.</w:t>
      </w:r>
    </w:p>
    <w:p>
      <w:r>
        <w:t>4. Quant aux infractions potentiellement survenues après 2000, les considéra- tions du MPC exposées dans son ordonnance sont pertinentes.</w:t>
      </w:r>
    </w:p>
    <w:p>
      <w:r>
        <w:t>En effet, la recourante ne démontre pas à satisfaction qu'il existerait des soupçons suffisants d'actes d'entrave en lien avec les fonds détournés à son préjudice qui auraient eu lieu postérieurement à 1998. Il ressort en ef- fet du dossier qu'elle ignore à partir de quelle date et jusqu'à quand des vi- rements selon elle suspects auraient été effectués sur des comptes en</w:t>
      </w:r>
    </w:p>
    <w:p>
      <w:r>
        <w:t>- 13 -</w:t>
      </w:r>
    </w:p>
    <w:p>
      <w:r>
        <w:t>Suisse (act. 1, n° 51, p. 12). Il sied au demeurant de relever que la notion de «soupçons suffisants» au sens de l'art. 309 al. 1 let a CPP (v. supra consid. 2.2) n'est pas définie par le CPP. Néanmoins, la recherche indé- terminée de preuves ou «fishing expedition» est proscrite (MOREIL- LON/PAREIN-REYMOND, Petit Commentaire, Code de procédure pénale, Bâle 2013, n° 4 ad art. 309 et références citées). Il appert par conséquent que la présence de soupçons précis et objectivement fondés que des actes d'entrave aient perdurés après 1998 fait défaut.</w:t>
      </w:r>
    </w:p>
    <w:p>
      <w:r>
        <w:rPr>
          <w:b/>
        </w:rPr>
        <w:t>E. 5</w:t>
      </w:r>
    </w:p>
    <w:p>
      <w:r>
        <w:t>Il en résulte que les faits dénoncés par la recourante sont notamment pres- crits et que l'ordonnance de non-entrée en matière n'est pas critiquable. Le recours, mal fondé, doit être rejeté dans la mesure de sa recevabilité.</w:t>
      </w:r>
    </w:p>
    <w:p>
      <w:r>
        <w:rPr>
          <w:b/>
        </w:rPr>
        <w:t>E. 6</w:t>
      </w:r>
    </w:p>
    <w:p>
      <w:r>
        <w:t>En tant que partie qui succombe, la recourante se voit mettre à sa charge les frais, et ce en application de l'art. 428 al. 1 CPP selon lequel les frais de la procédure de recours sont mis à la charge des parties dans la mesure où elles ont obtenu gain de cause ou succombé. Ceux-ci se limitent en l'es- pèce à un émolument, qui, en application des art. 5 et 8 al. 1 du Règlement du Tribunal pénal fédéral sur les frais, émoluments, dépens et indemnités de la procédure pénale fédérale (RFPPF; RS 173.713.162), sera fixé à CHF 2'000.--, couvert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