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BB.2014.152 vom 3. Juli 2015</w:t>
      </w:r>
    </w:p>
    <w:p>
      <w:r>
        <w:t>Bundesstrafgericht, 2015-07-03, FR</w:t>
      </w:r>
    </w:p>
    <w:p>
      <w:r>
        <w:rPr>
          <w:b/>
        </w:rPr>
        <w:t xml:space="preserve">Quelle: </w:t>
      </w:r>
      <w:r>
        <w:t>https://mcp.opencaselaw.ch/entscheid/bstger_BB.2014.152</w:t>
      </w:r>
    </w:p>
    <w:p>
      <w:r>
        <w:t>FR: TPF BB.2014.152 du 3 juillet 2015</w:t>
      </w:r>
    </w:p>
    <w:p>
      <w:r>
        <w:t>IT: TPF BB.2014.152 del 3 luglio 2015</w:t>
      </w:r>
    </w:p>
    <w:p>
      <w:pPr>
        <w:pStyle w:val="Heading2"/>
      </w:pPr>
      <w:r>
        <w:t>Regeste</w:t>
      </w:r>
    </w:p>
    <w:p>
      <w:r>
        <w:t>Séquestre (art. 263 ss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w:t>
      </w:r>
    </w:p>
    <w:p>
      <w:r>
        <w:t>- 5 -</w:t>
      </w:r>
    </w:p>
    <w:p>
      <w:r>
        <w:t>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En sa qualité de titulaire du compte séquestré, la recourante dispose d'un intérêt juridiquement protégé à l'annulation de la mesure de séquestre frappant ledit compte et au refus de levée de celui-ci (act. 1.1; 1.4; décisions du Tribunal pénal fédéral BB.2013.138 du 20 mars 2014, consid. 1.3; BB.2011.10-11 du 18 mai 2011, consid. 1.5 et les références citées).</w:t>
      </w:r>
    </w:p>
    <w:p>
      <w:r>
        <w:rPr>
          <w:b/>
        </w:rPr>
        <w:t>E. 1.4</w:t>
      </w:r>
    </w:p>
    <w:p>
      <w:r>
        <w:t>Déposé dans le délai de dix jours dès la notification du prononcé entrepris, le recours l'a été en temps utile (act. 1; act. 1.4).</w:t>
      </w:r>
    </w:p>
    <w:p>
      <w:r>
        <w:rPr>
          <w:b/>
        </w:rPr>
        <w:t>E. 2</w:t>
      </w:r>
    </w:p>
    <w:p>
      <w:r>
        <w:t>La recourante conteste que les conditions du séquestre soient réalisées. Elle allègue que les soupçons tels qu'exposés par le MPC ne sont plus suffisants au vu de la durée du séquestre (5 ans; act. 1, p. 5). Elle soulève également que les avoirs bloqués appartiennent à des tiers de bonne foi et ne peuvent donc pas être bloqués en vue d'être restitués au lésé ou d'être confisqués (act. 1, p. 5 et 16).</w:t>
      </w:r>
    </w:p>
    <w:p>
      <w:r>
        <w:rPr>
          <w:b/>
        </w:rPr>
        <w:t>E. 2.1.1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2.1.2</w:t>
      </w:r>
    </w:p>
    <w:p>
      <w:r>
        <w:t>L'enquête menée par le MPC a fait l'objet de nombreux actes d'instruction (act. 14.1, p. 15 à 17). Depuis le début de l'enquête, plusieurs rapports du Centre de compétences Economie et Finance (ci-après: CCEF) du MPC ont été établis, lesquels ont chacun portés sur des aspects différents de l'affaire instruite (act. 14.1, p. 15). Le dernier en date a été rendu le 16 décembre 2014. Il vise notamment à identifier l'origine des fonds déposés en Suisse, calculer le montant provenant des activités présumées d'escroquerie commises par K. crédité sur des comptes en Suisse et exposer le rôle des responsables de ces relations bancaires (act. 14.1, p. 16 s.). Dans l'un de ces points, ce rapport traite expressément et en détails du compte no 1 au nom de la fondation A. ouvert auprès de la banque M. Il y est exposé le cheminement de l'argent qui y a été transféré. Il résulte ainsi des recherches, que cet argent provient bien des prétendues infractions qu'auraient commises K. (v. let. A; act. 14.1, p. 199 à 202). La recourante ne peut dès lors pas être suivie lorsqu'elle affirme que le lien entre les fonds déposés en Suisse au nom de la fondation A. et les infractions poursuivies n'est pas suffisamment établi pour justifier le maintien du séquestre sur une telle durée. Cela, étant précisé que si la recourante n'a pas eu accès au rapport CCEF du 16 décembre 2014 avant le dépôt du recours, elle ne s'est pas non plus prononcé sur celui-ci dans ses observations du 20 mars 2015 (act. 1; 14.1; 26, p. 2). Quant aux soupçons suffisants portant sur la réalisation par K. des infractions pour lesquelles il a été mis en prévention, il convient de relever un certain nombre d'éléments figurant également dans le rapport CCEF déjà mentionné. Alors que K. était Chief Investment Officer de la société N. Limited, il aurait incité les fonds B. – J. Ltd à investir dans</w:t>
      </w:r>
    </w:p>
    <w:p>
      <w:r>
        <w:t>- 7 -</w:t>
      </w:r>
    </w:p>
    <w:p>
      <w:r>
        <w:t>les sociétés O. pour ensuite manipuler de manière frauduleuse le cours de leurs actions (act. 14.1, p. 35). Certaines de ces actions ont ainsi présenté une augmentation importante de leur cours, malgré le fait que les sociétés précitées affichaient des pertes. Suite à la démission de K., il aurait été constaté que le cours de ces actions a chuté significativement (act. 14.1, p. 40 s.). Il doit dès lors être constaté que les soupçons d'infraction à l'encontre de K. ne se sont pas estompés, bien au contraire. Il sera pour le surplus rappelé à la recourante que la jurisprudence a déjà considéré qu'une manipulation de cours boursiers est susceptible de constituer une escroquerie en droit suisse (ATF 122 II 422). Elle a aussi eu l'occasion à diverses reprises d'établir qu'il ne revient pas à l'autorité de recours de se substituer au juge du fond (v. infra consid. 2.2.1; arrêt du Tribunal pénal fédéral BB.2012.9 du 24 juillet 2012, consid. 4.1.2). Dès lors, une analyse plus détaillée des conditions de réalisation des infractions prétendument commises par K. n'est pas nécessaire pour confirmer la décision de rejet de levée du séquestre et décider du maintien de ce dernier.</w:t>
      </w:r>
    </w:p>
    <w:p>
      <w:r>
        <w:rPr>
          <w:b/>
        </w:rPr>
        <w:t>E. 2.2.1</w:t>
      </w:r>
    </w:p>
    <w:p>
      <w:r>
        <w:t>S'agissant des conditions de l'art. 70 al. 2 CP, il convient de rappeler que, aux termes de cette disposition, la confiscation n'est pas prononcée lorsqu'un tiers a acquis les valeurs dans l'ignorance des faits qui l'auraient justifiée,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(arrêt du Tribunal fédéral 1P.239/2002 du 9 août 2002, consid. 3.1). Il ne sera dérogé à ces principes, et le séquestre sera exclu, que dans l’hypothèse où il est d’emblée manifeste et indubitable que les conditions matérielles d’une confiscation en mains de tiers ne sont pas réalisées et ne pourront jamais l’être (arrêts du Tribunal fédéral 1B_166/2008 du 17 décembre 2008, consid. 4.3; 1S.8/2006 du 12 décembre 2006, consid. 6.1; arrêts du Tribunal pénal fédéral BB.2009.28- 30 du 30 juillet 2009, consid. 2.1; BB.2006.32 du 25 octobre 2006, consid. 5.2). Ainsi, et au contraire du juge du fond, la Cour de céans n’a pas à examiner les questions de fait et de droit de manière définitive (décision du Tribunal pénal fédéral BB.2012.43-44 du 16 août 2012, consid. 4.1.2). Dès lors, savoir si les conditions d’une confiscation au sens de l’art. 70 al. 1 CP, respectivement d’une non-confiscation au sens de l’art. 70 al. 2 CP, sont remplies relève de l’autorité de jugement (arrêt du Tribunal fédéral 1S.13/2005 du 22 avril 2005, consid. 5). Cette Cour a eu l’occasion de rappeler (arrêt du Tribunal pénal fédéral BB.2009.14 du 28 septembre 2009, consid. 2.2.3) que l’exception susmentionnée ne peut viser que les</w:t>
      </w:r>
    </w:p>
    <w:p>
      <w:r>
        <w:t>- 8 -</w:t>
      </w:r>
    </w:p>
    <w:p>
      <w:r>
        <w:t>hypothèses – rares – dans lesquelles la question de la confiscation ne prête aucunement à discussion, celle-là étant d’emblée et indubitablement exclue («offensichtlich», «eindeutig»; arrêts du Tribunal fédéral précités 1B_166/2008, consid. 4.3 et 1S.8/2006, consid. 6.1; arrêts du Tribunal pénal fédéral BB.2009.28-30 du 30 juillet 2009, consid. 2.1; BB.2006.32 du 25 octobre 2006, consid. 5.2).</w:t>
      </w:r>
    </w:p>
    <w:p>
      <w:r>
        <w:rPr>
          <w:b/>
        </w:rPr>
        <w:t>E. 2.2.2</w:t>
      </w:r>
    </w:p>
    <w:p>
      <w:r>
        <w:t>Tel n'est pas le cas en l'espèce. La recourante n'allègue aucunement que les montants versés sur son compte aient fait l'objet d'une ou de plusieurs contre-prestations (act. 1; 5; 26). Cela ne ressort pas non plus du dossier. Or, il est rappelé que pour que la confiscation soit possible, il suffit que le tiers ait, alternativement, été de mauvaise foi ou qu'il n'ait pas fourni de contre-prestation adéquate. Dès lors, ce point déjà permet de procéder à la confiscation. De plus, la question de la bonne foi de la fondation A. et ses Organes, voire de celle des enfants de K. est une question qui nécessite une analyse approfondie du cas et ne peut être considérée comme relevant de l'exception instituée par la jurisprudence précitée (v. supra consid. 2.2.1). Cette problématique devra donc être examinée et tranchée par le juge du fond.</w:t>
      </w:r>
    </w:p>
    <w:p>
      <w:r>
        <w:t>3. Pour le surplus, il sera relevé que les autres conditions du séquestre, au demeurant non contestées, notamment la proportionnalité de la mesure et l'intérêt public de celle-ci (consid. 2.1.1), sont in casu réalisées.</w:t>
      </w:r>
    </w:p>
    <w:p>
      <w:r>
        <w:t>4. Le recours est rejeté.</w:t>
      </w:r>
    </w:p>
    <w:p>
      <w:r>
        <w:t>5.</w:t>
      </w:r>
    </w:p>
    <w:p>
      <w:r>
        <w:t>5.1 La recourante requiert qu'en tant que participante à la procédure pénale, l'assistance judiciaire lui soit octroyée. Elle expose que bien qu'étant une personne morale cela doit exceptionnellement lui être accordé du fait que l'entier de ses biens sont séquestrés par les autorités pénales et qu'elle n'a plus les moyens de rémunérer son avocat.</w:t>
      </w:r>
    </w:p>
    <w:p>
      <w:r>
        <w:t>5.2 Selon l'art. 136 CPP la direction de la procédure accorde entièrement ou partiellement l'assistance judiciaire à la partie plaignante pour lui permettre de faire valoir ses prétentions civiles à condition que celle-ci soit indigente et que l'action civile ne paraisse pas vouée à l'échec (al. 1). L'assistance judiciaire comprend notamment la désignation d'un conseil juridique gratuit, lorsque la défense des intérêts de la partie plaignante l'exige (al. 2).</w:t>
      </w:r>
    </w:p>
    <w:p>
      <w:r>
        <w:t>- 9 -</w:t>
      </w:r>
    </w:p>
    <w:p>
      <w:r>
        <w:t>5.3 En l'espèce, la recourante intervient en tant que tiers saisi et non comme partie plaignante. Selon HARARI et CORMINBOEUF (Commentaire romand, Bâle 2011, nos 5 s. ad art. 136 CPP), le droit à l'assistance judiciaire devrait être reconnu également aux autres participants à la procédure au sens de l'art. 105 CPP, soit également aux tiers touchés par des actes de procédure (let. f). Cette question peut en l'espèce demeurer ouverte vu les considérations qui suivent. En effet, il apparaît que les conditions pour l'octroi de l'assistance judiciaire ne seraient en tout état de cause pas réunies.</w:t>
      </w:r>
    </w:p>
    <w:p>
      <w:r>
        <w:t>Les personnes morales ne peuvent en principe bénéficier de l’assistance judiciaire. Elles pourraient exceptionnellement y prétendre lorsqu’est en litige l’entier de leur patrimoine et que les personnes économiquement intéressées à la personne morale sont également dénuées de moyens. Ce dernier concept doit être interprété largement, incluant, outre les sociétaires, les organes voire les créanciers de la société (ATF 131 II 306 consid. 5.2.2 et la jurisprudence citée; pour un exposé complet v. ATF 119 Ia 337 consid. 4). La recourante est en l'espèce une fondation de droit liechtensteinois, soit une personne morale. Si elle allègue que l'entier de ses biens sont séquestrés, elle ne produit cependant aucun document permettant de l'établir. Les biens séquestrés par la procédure pénale concernent ses avoirs déposés en Suisse. Rien ne permet d'exclure que celle-ci détienne notamment des comptes au Liechtenstein. En outre, elle ne prétend pas que les personnes économiquement intéressées telles que préalablement définies soient également nécessiteuses. La demande d'assistance judiciaire est ainsi rejetée.</w:t>
      </w:r>
    </w:p>
    <w:p>
      <w:r>
        <w:rPr>
          <w:b/>
        </w:rPr>
        <w:t>E. 6</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w:t>
      </w:r>
    </w:p>
    <w:p>
      <w:r>
        <w:t>- 10 -</w:t>
      </w:r>
    </w:p>
    <w:p>
      <w:r>
        <w:t>sa dernière écriture, le montant des honoraires est fixé selon l'appréciation de la Cour. En l'espèce, une indemnité d'un montant de CHF 1'000.-- attribuée solidairement aux fonds B. – J. Ltd paraît équitable et sera mise à la charge de la fondation 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