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BB.2014.150 vom 4. Mai 2015</w:t>
      </w:r>
    </w:p>
    <w:p>
      <w:r>
        <w:t>Bundesstrafgericht, 2015-05-04, DE</w:t>
      </w:r>
    </w:p>
    <w:p>
      <w:r>
        <w:rPr>
          <w:b/>
        </w:rPr>
        <w:t xml:space="preserve">Quelle: </w:t>
      </w:r>
      <w:r>
        <w:t>https://mcp.opencaselaw.ch/entscheid/bstger_BB.2014.150</w:t>
      </w:r>
    </w:p>
    <w:p>
      <w:r>
        <w:t>FR: TPF BB.2014.150 du 4 mai 2015</w:t>
      </w:r>
    </w:p>
    <w:p>
      <w:r>
        <w:t>IT: TPF BB.2014.150 del 4 maggio 2015</w:t>
      </w:r>
    </w:p>
    <w:p>
      <w:pPr>
        <w:pStyle w:val="Heading2"/>
      </w:pPr>
      <w:r>
        <w:t>Regeste</w:t>
      </w:r>
    </w:p>
    <w:p>
      <w:r>
        <w:t>Editionsverfügung (Art. 265 StPO). Schriftliche Berichte (Art. 145 StPO). Aufschiebende Wirkung (Art. 387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w:t>
      </w:r>
    </w:p>
    <w:p>
      <w:r>
        <w:rPr>
          <w:b/>
        </w:rPr>
        <w:t>E. 1.2</w:t>
      </w:r>
    </w:p>
    <w:p>
      <w:r>
        <w:t>Mit Beschwerde gerügt werden können gemäss Art. 393 Abs. 2 StPO Rechtsverletzungen, einschliesslich Überschreitung und Missbrauch des Ermessens, Rechtsverweigerung und Rechtsverzögerung (lit. a), die unvollständige oder unrichtige Feststellung des Sachverhalts (lit. b) sowie die Unangemessenheit (lit. c). Die Beschwerde gegen schriftlich oder mündlich eröffnete Entscheide ist innert zehn Tagen schriftlich und begründet einzureichen (Art. 396 Abs. 1 StPO).</w:t>
      </w:r>
    </w:p>
    <w:p>
      <w:r>
        <w:rPr>
          <w:b/>
        </w:rPr>
        <w:t>E. 2</w:t>
      </w:r>
    </w:p>
    <w:p>
      <w:r>
        <w:t>Februar 2012, E. 1.1; Beschluss des Bundesstrafgerichts BE.2012.5 vom 26. Juni 2012, E. 1.4; auch KELLER, a.a.O., Art. 248 StPO N. 12; LEMBO/BERTHOD, Commentaire romand, Bâle 2011, n°20 ad art. 265 CPP; MELI, a.a.O., n. 7 ad art. 248 CPP; THORMANN/BRECHBÜHL, Basler Kommentar, 2. Aufl., Basel 2014, Art. 248 StPO N. 61). Ein solches Verfahren wurde aber in casu nicht gewählt und die Beschwerdekammer wäre ohnehin nicht dafür zuständig (vgl. Art. 248 Abs. 3 StPO).</w:t>
      </w:r>
    </w:p>
    <w:p>
      <w:r>
        <w:rPr>
          <w:b/>
        </w:rPr>
        <w:t>E. 2.1</w:t>
      </w:r>
    </w:p>
    <w:p>
      <w:r>
        <w:t>Die Beschwerdegegnerin hat unter Ziff. 1-3 der vorliegend angefochtenen Verfügung die Herausgabe von Unterlagen sowie deren Beschlagnahme angeordnet. Diesbezüglich gilt es Folgendes festzuhalten:</w:t>
      </w:r>
    </w:p>
    <w:p>
      <w:r>
        <w:t>Der Inhaber ist verpflichtet, Gegenstände, die beschlagnahmt werden sollen, herauszugeben (Art. 265 StPO). Mithin erfolgt die Editionsverfügung im Hinblick auf eine Durchsuchung (Art. 246 f. StPO) bzw. Beschlagnahme (Art. 264 ff. StPO; Urteil des Bundesgerichts 1B_562/2011 vom</w:t>
      </w:r>
    </w:p>
    <w:p>
      <w:r>
        <w:rPr>
          <w:b/>
        </w:rPr>
        <w:t>E. 2.2</w:t>
      </w:r>
    </w:p>
    <w:p>
      <w:r>
        <w:t>Gemäss Rechtsprechung steht der betroffenen Person gegen eine Editionsverfügung nicht die Beschwerde nach Art. 393 ff. StPO offen. Es besteht – unter gewissen Voraussetzungen – die Möglichkeit eines Siegelungsverfahrens. Dem Entsiegelungsrichter kommt dabei umfassende Kognition zu, so dass gegen die Zulässigkeit der Durchsuchung nebst allfälligen Aussage- und Zeugnisverweigerungsrechten auch das Fehlen eines hinreichenden Tatverdachts oder der Beweiswahrscheinlichkeit geltend gemacht werden kann (Urteil des Bundesgerichts 1B_562/2011 vom</w:t>
      </w:r>
    </w:p>
    <w:p>
      <w:r>
        <w:rPr>
          <w:b/>
        </w:rPr>
        <w:t>E. 2.3</w:t>
      </w:r>
    </w:p>
    <w:p>
      <w:r>
        <w:t>Aus dem Gesagten geht hervor, dass gegen die vorliegende Editionsverfügung die Beschwerde gemäss Art. 393 ff. StPO nicht offen steht. Die Frage, ob es in casu sachgerecht war, einen kombinierten Herausgabe- und Beschlagnahmebefehl zu erlassen, mithin der Beschlagnahmebefehl den Anforderungen von Art. 263 Abs. 2 StPO standhält, wird allenfalls in einem Beschwerdeverfahren gegen die Beschlagnahme der Unterlagen zu prüfen sein.</w:t>
      </w:r>
    </w:p>
    <w:p>
      <w:r>
        <w:rPr>
          <w:b/>
        </w:rPr>
        <w:t>E. 3</w:t>
      </w:r>
    </w:p>
    <w:p>
      <w:r>
        <w:t>Beschwerde gegen Einladung i.S.v. 145 StPO</w:t>
      </w:r>
    </w:p>
    <w:p>
      <w:r>
        <w:rPr>
          <w:b/>
        </w:rPr>
        <w:t>E. 3.1</w:t>
      </w:r>
    </w:p>
    <w:p>
      <w:r>
        <w:t>Unter Ziff. 4 der angefochtenen Verfügung verlangt die Beschwerdegegnerin von der Beschwerdeführerin unter Auflistung verschiedener Auftragsnummern, sie solle den jeweiligen Kundennamen bezeichnen. Im Gegensatz zu den Ziff. 1-3 handelt es sich dabei nicht um ein Editionsbegehren, sondern vielmehr um eine Einladung, einen schriftlichen Bericht abzugeben (vgl. Art. 145 StPO).</w:t>
      </w:r>
    </w:p>
    <w:p>
      <w:r>
        <w:rPr>
          <w:b/>
        </w:rPr>
        <w:t>E. 3.2</w:t>
      </w:r>
    </w:p>
    <w:p>
      <w:r>
        <w:t>Art. 145 StPO (schriftliche Berichte) lautet wie folgt: Die Strafbehörde kann eine einzuvernehmende Person einladen, an Stelle einer Einvernahme oder zu ihrer Ergänzung einen schriftlichen Bericht abzugeben. Das Verfassen eines schriftlichen Berichts ist stets freiwillig. Art. 145 StPO erteilt der Strafbehörde nicht die Kompetenz, eine einzuvernehmende Person zur</w:t>
      </w:r>
    </w:p>
    <w:p>
      <w:r>
        <w:t>- 6 -</w:t>
      </w:r>
    </w:p>
    <w:p>
      <w:r>
        <w:t>Erstellung eines schriftlichen Berichts zu verpflichten, sie kann diese bloss dazu einladen. Entsprechend kann die Weigerung einen schriftlichen Bericht abzufassen, keine (nachteiligen) Folgen für die sich weigernde Person nach sich ziehen (HÄRING, Basler Kommentar, 2. Aufl., Basel 2014, Art. 145 StPO N. 5; vgl. auch SCHMID, a.a.O., Art. 145 N. 6).</w:t>
      </w:r>
    </w:p>
    <w:p>
      <w:r>
        <w:t>Die Beschwerdeführerin ist somit gestützt auf die angefochtene Verfügung nicht verpflichtet, die geforderten Kundennamen zu bezeichnen. Eine Beschwerde gegen die Einladung, einen schriftlichen Bericht abzugeben, kann nicht erhoben werden, da die Beschwerdeführerin bereits ihre Mitwirkung verweigern kann, ohne dass es für sie zu nachteiligen Folgen kommen könnte.</w:t>
      </w:r>
    </w:p>
    <w:p>
      <w:r>
        <w:rPr>
          <w:b/>
        </w:rPr>
        <w:t>E. 4</w:t>
      </w:r>
    </w:p>
    <w:p>
      <w:r>
        <w:t>Nach dem Gesagten ist auf die vorliegende Beschwerde nicht einzutreten.</w:t>
      </w:r>
    </w:p>
    <w:p>
      <w:r>
        <w:rPr>
          <w:b/>
        </w:rPr>
        <w:t>E. 5</w:t>
      </w:r>
    </w:p>
    <w:p>
      <w:r>
        <w:t>Das Gesuch der Beschwerdeführerin um Erteilung der aufschiebenden Wirkung der Beschwerde wird mit dem vorliegenden Entscheid hinfällig und ist als gegenstandslos abzuschreiben.</w:t>
      </w:r>
    </w:p>
    <w:p>
      <w:r>
        <w:rPr>
          <w:b/>
        </w:rPr>
        <w:t>E. 6</w:t>
      </w:r>
    </w:p>
    <w:p>
      <w:r>
        <w:t>Mit Beschwerdeantwort vom 4. Dezember 2014 stellt die Beschwerdegegnerin unter Ziff. 2 den Antrag, es sei die Zuständigkeit der Strafverfolgungsbehörden des Bundes festzustellen (act. 4). Sie verkennt dabei, dass die Frage der Bundeszuständigkeit nicht Streitgegenstand dieses Beschwerdeverfahrens bildet: Der Streitgegenstand wird durch die angefochtene hoheitliche Verfahrenshandlung verbindlich festgelegt. Die Beschwerdekammer kann nicht Gegenstände beurteilen, über welche die vorinstanzliche Strafbehörde nicht entschieden hat (GUIDON, Die Beschwerde gemäss Schweizerischer Strafprozessordnung, Berner Diss., Zürich/St. Gallen 2011, N. 390 und 543 m.w.H.). Vorliegend wurde eine Editionsverfügung und eine Einladung zur Erstellung eines schriftlichen Berichts angefochten, mithin nicht die Zuständigkeit der Bundesan- waltschaft. Eine direkte Prüfung der Bundeszuständigkeit durch die Beschwerdekammer käme grundsätzlich einzig gestützt auf Art. 28 StPO in Frage (vgl. zum Ganzen KIPFER, Basler Kommentar, 2. Aufl., Basel 2014, Art. 28 StPO N. 3).</w:t>
      </w:r>
    </w:p>
    <w:p>
      <w:r>
        <w:rPr>
          <w:b/>
        </w:rPr>
        <w:t>E. 7</w:t>
      </w:r>
    </w:p>
    <w:p>
      <w:r>
        <w:t>Bei diesem Ausgang des Verfahrens hätte die Beschwerdeführerin die Gerichtskosten zu tragen (Art. 428 Abs. 1 StPO). Jedoch ist die Rechtsmittelbelehrung der angefochtenen Verfügung missverständlich</w:t>
      </w:r>
    </w:p>
    <w:p>
      <w:r>
        <w:t>- 7 -</w:t>
      </w:r>
    </w:p>
    <w:p>
      <w:r>
        <w:t>formuliert, weswegen auf die Erhebung einer Gerichtsgebühr zu verzichten ist.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