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BB.2014.147 vom 22. Dezember 2014</w:t>
      </w:r>
    </w:p>
    <w:p>
      <w:r>
        <w:t>Bundesstrafgericht, 2014-12-22, FR</w:t>
      </w:r>
    </w:p>
    <w:p>
      <w:r>
        <w:rPr>
          <w:b/>
        </w:rPr>
        <w:t xml:space="preserve">Quelle: </w:t>
      </w:r>
      <w:r>
        <w:t>https://mcp.opencaselaw.ch/entscheid/bstger_BB.2014.147</w:t>
      </w:r>
    </w:p>
    <w:p>
      <w:r>
        <w:t>FR: TPF BB.2014.147 du 22 décembre 2014</w:t>
      </w:r>
    </w:p>
    <w:p>
      <w:r>
        <w:t>IT: TPF BB.2014.147 del 22 dicembre 2014</w:t>
      </w:r>
    </w:p>
    <w:p>
      <w:pPr>
        <w:pStyle w:val="Heading2"/>
      </w:pPr>
      <w:r>
        <w:t>Regeste</w:t>
      </w:r>
    </w:p>
    <w:p>
      <w:r>
        <w:t>Mise sous scellés (art. 248 al. 1 CPP). Effet suspensif (387 CPP).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janvier 2013, consid. 2.3 ["sofort"]; v. aussi décision du Tribunal pénal fédéral BB.2013.171 du 16 avril 2014, consid. 3.1);</w:t>
      </w:r>
    </w:p>
    <w:p>
      <w:r>
        <w:t>- 6 -</w:t>
      </w:r>
    </w:p>
    <w:p>
      <w:r>
        <w:t>- qu'elle coïncide donc en principe avec l'exécution de la perquisition (ATF 127 II 151 consid. 4c/aa p. 156; arrêts du Tribunal fédéral 1B_477/2012 du 13 février 2013, consid. 3.2; 1B_516/2012 du 9 janvier 2013, consid. 2; 1B_320/2012 du 14 décembre 2012, consid. 4.1, in: SJ 2013 I p. 333; PITTELOUD, Code de procédure pénale suisse, Zurich/St-Gall 2012, n° 568; THORMANN/BRECHBÜHL, op. cit., n° 11 ad art. 248 CPP), ou au plus tard quelques heures après la perquisition, et ce afin de permettre à celui-là de se faire conseiller par un avocat (KELLER, op. cit., n° 11 ad art. 248 CPP; arrêts du Tribunal fédéral 1B_322/2013 du 20 décembre 2013, consid. 2.1 et 1B_546/2012 du 23 janvier 2013, consid. 2.3);</w:t>
      </w:r>
    </w:p>
    <w:p>
      <w:r>
        <w:t>- que par conséquent, une demande de mise sous scellés ultérieure est tar- dive et ne répond pas au but de cette procédure, car elle n'est plus à même d'empêcher que l'autorité pénale ne prenne connaissance du contenu des documents ou objets visés par la mesure (arrêt du Tribunal fédéral 1B_320/2012 du 14 décembre 2012, consid. 4.1.2 et 5.3 et références ci- tées);</w:t>
      </w:r>
    </w:p>
    <w:p>
      <w:r>
        <w:t>- qu'en l'occurrence, la demande de mise sous scellés est intervenue huit jours après que le titulaire du compte ait été informé de la mesure, à un moment où l'autorité pénale avait déjà pris connaissance du contenu des documents ou objets visés par la mesure (act. 5.5 et 5.6, p.2);</w:t>
      </w:r>
    </w:p>
    <w:p>
      <w:r>
        <w:t>- qu'elle est donc tardive;</w:t>
      </w:r>
    </w:p>
    <w:p>
      <w:r>
        <w:t>- que par conséquent, la question de savoir comment l'autorité pénale doit procéder lorsque – comme en l'occurrence – le séquestre est assorti de l'interdiction faite à la banque de communiquer à son client l'existence de la mesure, soit dans la situation où le client, non informé, ne peut requérir la mise sous scellés (situation évoquée par THORMANN/BRECHBÜHL, op. cit., n° 9 ad art. 248 CPP) peut demeurer ouverte;</w:t>
      </w:r>
    </w:p>
    <w:p>
      <w:r>
        <w:t>- qu'in casu, rien n'empêchait la banque de requérir la mise sous scellés des documents, ou de remettre ceux-ci à l'autorité sous scellés (cf. TPF 2009 1);</w:t>
      </w:r>
    </w:p>
    <w:p>
      <w:r>
        <w:t>- qu'il est de son devoir d'assurer la sauvegarde des intérêts de son client et de demander la mise sous scellés (dans ce sens ISENRING/KESSLER, op. cit., p. 331);</w:t>
      </w:r>
    </w:p>
    <w:p>
      <w:r>
        <w:t>- que ne l'ayant pas requise, le MPC a pu examiner et exploiter les docu- ments remis par la banque G. (act. 1.4, p. 3 et act. 5, p. 3 s.);</w:t>
      </w:r>
    </w:p>
    <w:p>
      <w:r>
        <w:t>- 7 -</w:t>
      </w:r>
    </w:p>
    <w:p>
      <w:r>
        <w:t>- que quand bien même selon les récents développements jurisprudentiels, la mise sous scellés doit être accordée largement (cf. supra; ég. p. ex. THORMANN/BRECHBÜHL, op. cit., n° 5 ad art. 248 CPP), cela ne dispense pas le requérant de rendre vraisemblables les motifs de mise sous scellés qu'il fait valoir (le Message, FF 2006 p. 1221; SCHMID, Schweizerische Strafprozessordnung, Praxiskommentar, Zurich/St.-Gall 2013, 2e éd., n° 4 ad art. 248 CPP; THORMANN/BRECHBÜHL, op. cit., n° 10 ad art. 248 CPP; plus réservé: KELLER, op. cit., n° 9 ad art. 248 CPP);</w:t>
      </w:r>
    </w:p>
    <w:p>
      <w:r>
        <w:t>- qu'en l'occurrence, les recourantes se limitent à demander les scellés en arguant du fait qu'il n'y aurait aucun soupçon de l'existence d'une infraction ("das Fehlen eines konkreten Tatverdachts", act. 1, p. 3; act. 5.5, p. 2), sans même invoquer de secret qui protégerait la documentation bancaire concernée par la mesure, et sans désigner quels documents ou objets se- raient protégés par un secret, ce en violation de son obligation de collabo- rer (cf. ATF 138 IV 225 consid. 7.1; arrêts du Tribunal fédéral 1B_285/2013 du 11 mars 2014, consid. 6 et 1B_233/2009 du 25 février 2010, consid. 4.2 s.; HEIMGARTNER, Strafprozessuale Beschlagnahme, Zurich 2011, p. 378);</w:t>
      </w:r>
    </w:p>
    <w:p>
      <w:r>
        <w:t>- que le secret bancaire ne justifie pas à lui seul la mise sous scellés, puis- qu'il n'est pas, comme tel, opposable à la procédure pénale (le Message, FF 2006 p. 1185; ATF 119 IV 175; KELLER, op. cit., n° 22 ad art. 248 CPP; HARARI, Procédure pénale: la banque comme détentrice d'informations et de valeurs patrimoniales appartenant à son client, in: Journée 2010 de droit bancaire et financier, Genève 2011, p. 93 ss, 96 s.);</w:t>
      </w:r>
    </w:p>
    <w:p>
      <w:r>
        <w:t>- que la cause étant jugée, la requête d'effet suspensif – effet au reste inap- plicable s'agissant d'une décision négative (ordonnance du Tribunal pénal fédéral BP.2013.41 du 17 juin 2013; ZEN-RUFFINEN, Droit administratif: par- tie générale et éléments de procédure, 2e éd., Bâle 2013, n° 1408, p. 339; TANQUEREL, Manuel de droit administratif, Zurich 2011, p. 458) – est sans objet;</w:t>
      </w:r>
    </w:p>
    <w:p>
      <w:r>
        <w:t>- que le recours doit être rejeté;</w:t>
      </w:r>
    </w:p>
    <w:p>
      <w:r>
        <w:t>- que selon l’art. 428 al. 1 CPP, les frais de la procédure de recours sont mis à la charge des parties dans la mesure où elles ont obtenu gain de cause ou succombé;</w:t>
      </w:r>
    </w:p>
    <w:p>
      <w:r>
        <w:t>- que ceux-ci se limitent en l’espèce à un émolument qui, en application des art. 5 et 8 du règlement du Tribunal pénal fédéral du 31 août 2010 sur les</w:t>
      </w:r>
    </w:p>
    <w:p>
      <w:r>
        <w:t>- 8 -</w:t>
      </w:r>
    </w:p>
    <w:p>
      <w:r>
        <w:t>frais, émoluments, dépens et indemnités de la procédure pénale fédérale (RFPPF; RS 173.713.162), sera fixé à CHF 2'000.--, à la charge solidaire des recourantes.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