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BB.2014.123 vom 17. Juni 2015</w:t>
      </w:r>
    </w:p>
    <w:p>
      <w:r>
        <w:t>Bundesstrafgericht, 2015-06-17, FR</w:t>
      </w:r>
    </w:p>
    <w:p>
      <w:r>
        <w:rPr>
          <w:b/>
        </w:rPr>
        <w:t xml:space="preserve">Quelle: </w:t>
      </w:r>
      <w:r>
        <w:t>https://mcp.opencaselaw.ch/entscheid/bstger_BB.2014.123</w:t>
      </w:r>
    </w:p>
    <w:p>
      <w:r>
        <w:t>FR: TPF BB.2014.123 du 17 juin 2015</w:t>
      </w:r>
    </w:p>
    <w:p>
      <w:r>
        <w:t>IT: TPF BB.2014.123 del 17 giugno 2015</w:t>
      </w:r>
    </w:p>
    <w:p>
      <w:pPr>
        <w:pStyle w:val="Heading2"/>
      </w:pPr>
      <w:r>
        <w:t>Regeste</w:t>
      </w:r>
    </w:p>
    <w:p>
      <w:r>
        <w:t>Séquestre (art. 263 ss CPP). Classement de la procédure (art. 322 al. 2 CPP).</w:t>
      </w:r>
    </w:p>
    <w:p>
      <w:pPr>
        <w:pStyle w:val="Heading2"/>
      </w:pPr>
      <w:r>
        <w:t>Erwägungen</w:t>
      </w:r>
    </w:p>
    <w:p>
      <w:r>
        <w:rPr>
          <w:b/>
        </w:rPr>
        <w:t>E. 1</w:t>
      </w:r>
    </w:p>
    <w:p>
      <w:r>
        <w:t>En tant qu'autorité de recours, la Cour des plaintes examine avec plein pouvoir de cognition en fait et en droit les recours qui lui sont soumis (Mes-</w:t>
      </w:r>
    </w:p>
    <w:p>
      <w:r>
        <w:t>- 6 -</w:t>
      </w:r>
    </w:p>
    <w:p>
      <w:r>
        <w:t>sage relatif à l'unification du droit de la procédure pénale du 21 décembre 2005, FF 2006 1057, 1296 in fine; STEPHENSON/THIRIET, Commentaire bâ- lois, Schweizerische Strafprozessordnung, Bâle 2011, n° 15 ad art. 393; KELLER, Kommentar zur Schweizerischen Strafprozessordnung [StPO], 2e éd., [Donatsch/Hansjakob/Lieber, édit.], Genève/Zurich/Bâle 2014, n° 39 ad art. 393; SCHMID, Handbuch des schweizerischen Strafprozessrechts, 2e éd., Zurich/Saint-Gall 2013, n° 1512).</w:t>
      </w:r>
    </w:p>
    <w:p>
      <w:r>
        <w:rPr>
          <w:b/>
        </w:rPr>
        <w:t>E. 2</w:t>
      </w:r>
    </w:p>
    <w:p>
      <w:r>
        <w:t>Les décisions du MPC peuvent faire l'objet d'un recours devant la Cour de céans (art. 393 al. 1 let. a CPP et 37 al. 1 de la loi sur l'organisation des autorités pénales de la Confédération [LOAP; RS 173.71]).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 ronée des faits (let. b) ou l'inopportunité (let. c).</w:t>
      </w:r>
    </w:p>
    <w:p>
      <w:r>
        <w:rPr>
          <w:b/>
        </w:rPr>
        <w:t>E. 3.1</w:t>
      </w:r>
    </w:p>
    <w:p>
      <w:r>
        <w:t>Le recours est recevable à la condition que le recourant dispose d'un inté- rêt juridiquement protégé à l'annulation ou à la modification de la décision entreprise (art. 382 al. 1 CPP). Le recourant doit avoir subi une lésion, soit un préjudice causé par l'acte qu'il attaque et doit avoir un intérêt à l'élimina- tion de ce préjudice. Cet intérêt doit être actuel et pratique (arrêts du Tribu- nal fédéral 1B_669/2012 du 12 mars 2013 et 1B_657/2012 du 8 mars 2013, consid. 2.3.1; décisions du Tribunal pénal fédéral BB.2013.173-174 du 24 janvier 2014, consid. 1.3.1; BB.2013.89 du 24 octobre 2013, consid. 1.3; BB.2013.88 du 13 septembre 2013, consid. 1.4 et références citées).</w:t>
      </w:r>
    </w:p>
    <w:p>
      <w:r>
        <w:rPr>
          <w:b/>
        </w:rPr>
        <w:t>E. 3.2</w:t>
      </w:r>
    </w:p>
    <w:p>
      <w:r>
        <w:t>Le recourant conteste d'abord la décision du MPC en ce qu'elle refuse de classer la procédure pénale ouverte contre lui. Sous réserve d'une hypothèse n'entrant pas en considération ici (invocation de l'interdiction de la double poursuite), l'introduction d'une procédure pré- liminaire (et donc notamment l'ouverture d'une instruction par le ministère public, cf. art. 300 al. 1 let b CPP) n'est pas sujette à recours (art. 300 al. 2 CPP). Seules les décisions clôturant la procédure préliminaire peuvent être attaquées, pour autant qu'elles mettent un terme définitif à la procédure pénale, tels le classement et l'ordonnance pénale (mais pas la mise en ac- cusation puisque dans ce cas la procédure est portée devant un tribunal et</w:t>
      </w:r>
    </w:p>
    <w:p>
      <w:r>
        <w:t>- 7 -</w:t>
      </w:r>
    </w:p>
    <w:p>
      <w:r>
        <w:t>donc poursuivie). Il s'ensuit que le prévenu ne peut pas recourir contre l'introduction ou la poursuite de la procédure préliminaire (arrêts du Tribu- nal fédéral 1B_532/2012 du 30 octobre 2012, consid. 1.3; 1B_209/2011 du</w:t>
      </w:r>
    </w:p>
    <w:p>
      <w:r>
        <w:rPr>
          <w:b/>
        </w:rPr>
        <w:t>E. 3.3</w:t>
      </w:r>
    </w:p>
    <w:p>
      <w:r>
        <w:t>Le recourant s'en prend également au maintien du séquestre sur son compte. En sa qualité de titulaire de cette relation bancaire, il a la qualité pour agir (TPF 2006 307 consid. 2.1 p. 310).</w:t>
      </w:r>
    </w:p>
    <w:p>
      <w:r>
        <w:rPr>
          <w:b/>
        </w:rPr>
        <w:t>E. 3.4</w:t>
      </w:r>
    </w:p>
    <w:p>
      <w:r>
        <w:t>Le recours ayant été interjeté dans les délais, il y a lieu d'entrer en matière sur ce dernier point.</w:t>
      </w:r>
    </w:p>
    <w:p>
      <w:r>
        <w:t>4. Par un grief d'ordre formel qu'il convient d'analyser en premier, le recou- rant fait valoir une violation de son droit d'être entendu. Il invoque en effet que pour fonder sa décision, le MPC s'est basé sur des pièces dont il n'a pas eu connaissance, respectivement dont aucune copie ne lui a été transmise avant que la décision querellée ne soit prise, ou encore sur des pièces absentes du dossier, telles des pages web. Le MPC retient pour sa part que le recourant a obtenu copie de la table des matières en avril 2013 sans plus jamais en demander une version actualisée et que par ailleurs il a reçu en février et juillet 2014 copie de différents documents déterminants pour la décision entreprise. Il joint toutefois à sa réponse les documents pertinents pour la décision querellée. Il précise au surplus s'être appuyé sur des faits notoires. 4.1 Le droit d'être entendu garanti par l'art. 29 al. 2 Cst. inclut pour les parties le droit de s'expliquer avant qu'une décision ne soit prise à leur détriment, de fournir des preuves quant aux faits de nature à influer sur la décision, de participer à l'administration des preuves, d'en prendre connaissance et de se déterminer à leur propos (ATF 135 II 286 consid. 5.1; 129 I 85 consid. 4.1; 129 II 497 consid. 2.2; 127 I 54 consid. 2b, et les arrêts cités).</w:t>
      </w:r>
    </w:p>
    <w:p>
      <w:r>
        <w:t>- 8 -</w:t>
      </w:r>
    </w:p>
    <w:p>
      <w:r>
        <w:t>Le droit d'être entendu garantit également aux parties le droit de recevoir les décisions qui les concernent (v. ATF 107 Ib 170 consid. 3). Une condi- tion nécessaire du droit de consulter le dossier est que l'autorité, lorsqu'elle verse au dossier de nouvelles pièces dont elle entend se prévaloir dans son jugement, soit tenue d'en aviser les parties (arrêt du Tribunal fédéral 1P.718/2005 du 19 décembre 2005, consid. 3.2). Elle n'est cependant pas obligée de les renseigner sur chaque production de pièces, car il suffit qu'elle tienne le dossier à leur disposition. Le droit d'être entendu ne donne ainsi pas droit à ce que les pièces du dossier soient envoyées aux parties (arrêt du Tribunal fédéral 2C_201/2013 du 24 janvier 2014, consid. 4.1 et références citées).</w:t>
      </w:r>
    </w:p>
    <w:p>
      <w:r>
        <w:t>4.2 Le 11 février 2014, le MPC a informé le recourant avoir reçu copies de di- vers documents concernant le procès qui s'est déroulé à Londres contre C. entre le 4 novembre et le 10 décembre 2013. Il s'agissait notamment de l'Opening note et des transcripts y relatifs. Le MPC indiquait les avoir ver- sés au dossier. Dans le même courrier, il précisait fournir copies au recou- rant des traductions en français des transcripts du dernier jour du procès ainsi que l'Indictment (act. 5.2). Le recourant a ainsi reçu copie, entre autres, de la décision d'acquittement de C., rendue le dernier jour du pro- cès anglais, le 10 décembre 2013. Par ailleurs, le 9 juillet 2014, le MPC a fait une note au dossier pour préciser quels documents tirés d'une procé- dure d'entraide parallèle avec la Norvège ont été versés au dossier de la procédure pénale nationale (act. 5.9). En outre, le 18 juillet 2014, le MPC a fait parvenir au recourant copies de différents documents en lien avec le développement de la procédure aux Etats-Unis ouverte à l'encontre de la société E., ainsi que l'ordonnance de condamnation des autorités norvé- giennes à l'encontre de G. SA (act. 5.3). Dès lors, contrairement à ce que soutient le recourant, il était en possession des diverses pièces détermi- nantes pour la décision querellée avant que celle-ci ne soit rendue ou à tout le moins ces dernières figuraient-elles au dossier auquel il avait accès. Au reste, le MPC a fait parvenir avec sa réponse tous les documents perti- nents pour la décision entreprise (act. 5 p. 3; act. 5.0 à 5.13). Vu que le re- courant a eu la possibilité de répliquer (act. 11; act. 15), si une violation du droit d'être entendu avait dû, par impossible, être admise, cette dernière aurait en l'occurrence été guérie dans le cadre de la présente procédure de recours (arrêt du Tribunal pénal fédéral BB.2014.70 du 26 mars 2015, con- sid. 2.2 et références citées). Enfin, il faut admettre avec l'autorité intimée que les faits notoires ou publics sont par nature susceptibles d'être vérifiés par tout un chacun (arrêt du Tribunal fédéral 1C_638/2014 du 14 janvier 2014, consid. 5.1.1). On ne saurait donc reprocher, sur ce point, au MPC d'avoir lésé le droit d'être entendu du recourant.</w:t>
      </w:r>
    </w:p>
    <w:p>
      <w:r>
        <w:t>- 9 -</w:t>
      </w:r>
    </w:p>
    <w:p>
      <w:r>
        <w:t>4.3 L'argument, mal fondé, doit ainsi être rejeté.</w:t>
      </w:r>
    </w:p>
    <w:p>
      <w:r>
        <w:t>5.</w:t>
      </w:r>
    </w:p>
    <w:p>
      <w:r>
        <w:t>5.1 Le recourant se prévaut ensuite d'une absence de soupçons justifiant le maintien du séquestre. Il soutient que le MPC se fonde sur quatre juge- ments étrangers de tiers pour étayer l'aggravation des soupçons à son en- contre. Toutefois, seul l'acquittement de C. a fait l'objet d'un procès ordi- naire au fond. Dès lors, les paiements en amont auxquels ce dernier aurait procédé en faveur du recourant doivent être considérés comme licites. Par ailleurs, il considère que ce qu'un tiers peut avoir admis au cours d'une procédure simplifiée étrangère ne saurait être retenu dans le cadre de la procédure nationale. Tel devrait être le cas pour les condamnations de H. – alors CEO de la société B. – et respectivement de la société E., lesquels ont passé des accords à l'amiable avec les autorités de poursuite. Ils étaient ainsi libres de reconnaître des faits sans que la véracité de ces der- niers ne soit éprouvée par les autorités pénales. La condamnation de G. SA par les autorités norvégiennes ne saurait déployer d'effet non plus à l'égard du recourant dans la mesure où les paiements effectués par C. ont été déclarés définitivement licites en Angleterre. Le MPC retient pour sa part que le principe «ne bis in idem» ne peut être invoqué in casu par le re- courant dans la mesure où ce dernier n'était pas visé par la procédure an- glaise. Il relève en outre que C., bien qu'acquitté, n'a pas contesté avoir ef- fectué des versements en faveur du recourant. Dans ce contexte, H. a été condamné le 22 juillet 2014 par un tribunal anglais pour avoir reçu GPB 2,9 mios de pots-de-vin versés par C. De ce fait, le MPC fait valoir ne pas pouvoir partir du postulat que les versements effectués par les sociétés de C. sont licites en dépit de l'acquittement prononcé en faveur de ce der- nier. Il considère que dans le cas d'un plea bargain, les faits, reconnus et admis, doivent être tenus pour représenter la vérité matérielle. Il justifie le maintien du séquestre en invoquant une créance compensatrice (act. 5 p. 3 ss). 5.2 Le séquestre, comme mesure restreignant le droit de propriété, n'est com- patible avec la Constitution que s'il repose sur une base légale, est justifié par un intérêt public suffisant et respecte le principe de la proportionnalité (art. 26 al. 1 Cst. en relation avec l'art. 36 al. 1 à 3 Cst.; ATF 130 I 360 consid. 1.2 p. 362; 126 I 219 consid. 2a et 2c p. 221 s.). Ce dernier exige qu'une mesure restrictive soit apte à produire les résultats escomptés et que ceux-ci ne puissent être atteints par une mesure moins incisive; en outre, il interdit toute limitation allant au-delà du but visé et il exige un rap-</w:t>
      </w:r>
    </w:p>
    <w:p>
      <w:r>
        <w:t>- 10 -</w:t>
      </w:r>
    </w:p>
    <w:p>
      <w:r>
        <w:t>port raisonnable entre celui-ci et les intérêts publics ou privés compromis (ATF 136 IV 97 consid. 5.2.2 p. 104 et les arrêts cités). 5.3 Selon l'art. 71 al. 1 CP, lorsque les valeurs patrimoniales à confisquer ne sont plus disponibles, le juge ordonne leur remplacement par une créance compensatrice de l'Etat d'un montant équivalent. L'alinéa 3 du même article dispose de plus que l'autorité d'instruction peut placer sous séquestre, en vue de l'exécution d'une créance compensatrice, des valeurs patrimoniales appartenant à la personne concernée. La créance compensatrice est sub- sidiaire à la confiscation de valeurs patrimoniales de l'art. 70 CP (HIRSIG- VOUILLOZ, Commentaire romand, Bâle 2011, n° 1 ad art. 71 CP). En raison de ce caractère subsidiaire, la créance compensatrice ne peut être ordon- née que si, dans l'hypothèse où les valeurs patrimoniales provenant de l'infraction auraient été disponibles, la confiscation eût été prononcée (arrêt du Tribunal fédéral 1B_185/2007 du 30 novembre 2007, consid. 10.1). La créance compensatrice est ainsi soumise aux mêmes conditions que la confiscation (HIRSIG-VOUILLOZ, Confiscation pénale et créance compensa- trice - art. 69 à 72 CP -, in Jusletter du 8 janvier 2007). Entrent en considé- ration comme fondement d'une créance compensatrice, autant les délits constituant la cause directe de l'avantage illicite, que les infractions secon- daires comme le recel ou le blanchiment d'argent (ATF 125 IV 4 consid. 2). Le montant de la créance compensatrice doit être fixé à la valeur des objets qui n'ont pu être saisis et en prenant en considération la totalité de l'avantage économique obtenu au moment de l'infraction (HIRSIG-VOUILLOZ, op. cit., n° 8 ad art. 71 CP). Cela présuppose ainsi que les valeurs patrimo- niales mises sous séquestre équivalent au produit supposé d'une infraction, d'une part, et que le séquestre ordonné aux fins d'exécution de la créance compensatrice vise la personne concernée, d'autre part. Par «personne concernée» au sens de l'art. 71 al. 3 CP, on entend non seulement l'auteur de l'infraction, mais aussi tout tiers favorisé, d'une manière ou d'une autre, par l'infraction (arrêt du Tribunal fédéral 1B_185/2007 du 30 novembre 2007, consid. 10.1). Une créance compensatrice ne peut être prononcée à l'égard d'un tiers qu'aux conditions de l'art. 71 al. 1 CP in fine qui renvoie à l'art. 70 al. 2 CP (SCHMID in: Schmid [édit.], Kommentar Einziehung, orga- nisiertes Verbrechen, Geldwäscherei, [ci-après: Kommentar Einziehung], 2e éd., Tome I, Zurich 2007, p. 174). Le tiers doit notamment avoir acquis les valeurs en connaissance de cause (arrêt du Tribunal fédéral 1B_160/2007 du 1er novembre 2007, consid. 2.4). 5.4 Le 14 novembre 2011, l'enquête pénale ouverte par le MPC a été étendue contre A. pour blanchiment d'argent (act. 5.0 p. 1). Aux termes de l'art. 305bis al. 1 CP, celui qui aura commis un acte propre à entraver l'identifica- tion de l'origine, la découverte ou la confiscation de valeurs patrimoniales</w:t>
      </w:r>
    </w:p>
    <w:p>
      <w:r>
        <w:t>- 11 -</w:t>
      </w:r>
    </w:p>
    <w:p>
      <w:r>
        <w:t>dont il savait ou devait présumer qu'elles provenaient d'un crime, sera puni d'une peine privative de liberté de trois ans au plus ou d'une peine pécu- niaire. En d'autres termes, l'infraction de blanchiment d'argent n'est présu- mée, a fortiori réalisée, que lorsque deux conditions cumulatives sont réu- nies, à savoir, celle d'un crime commis au préalable ayant permis de géné- rer les valeurs patrimoniales en question et l'existence d'un acte d'entrave. Selon l'al. 3 de la même disposition, lorsque l'infraction principale a été commise à l'étranger, il faut que celle-ci soit punissable dans l'Etat où elle l'a été, ce qui suppose, conformément à la jurisprudence, l'existence dans cet Etat d'une réglementation abstraitement comparable à la règle pénale suisse (arrêt du Tribunal fédéral 6B_729/2010 du 8 décembre 2011, con- sid. 4.1.3 et référence citée). Il suffit ainsi que les législations des deux Etats contiennent des normes similaires (ATF 136 IV 179 consid. 2). Le crime doit être réalisé dans tous ses éléments subjectifs et objectifs (tatbestandsmässig) et être illicite (rechtswidrig; KISTLER, La vigilance re- quise en matière d'opérations financières, thèse, Zurich 1994, p. 86). En revanche, il n'est pas nécessaire qu'il y ait des poursuites ou un jugement à l'étranger (CORBOZ, Les infractions en droit suisse, Berne 2010, 3e éd., Vol. II, n° 55 ad art. 305bis CP). Peu importe que le crime soit effectivement poursuivi ou poursuivable et son auteur ne doit pas nécessairement être coupable ou punissable; il peut être irresponsable ou bénéficier d'une clause exclusive de culpabilité (KISTLER, op. cit., p. 86 et 87; BEGUIN/UNTERNAEHRER, La responsabilité civile du banquier en cas de blanchiment d'argent - question d'illicéité, in: Jusletter du 20 juillet 2009, no 13; GRABER, Geldwäscherei, thèse, Berne 1990, p. 128). En effet, dans l'optique de la confiscation notamment, la faute de l'auteur du crime préa- lable ne peut être décisive, car l'objectif est d'écarter l'avantage indûment obtenu (ACKERMANN in: Kommentar Einziehung, op. cit., p. 460). Les em- pêchements procéduraux touchant la procédure relative au crime préalable qui ne portent pas atteinte à la punissabilité du crime préalable, mais uni- quement à la possibilité de le poursuivre n'ont pas d'effet sur la punissabili- té du blanchiment (ACKERMANN, ibidem). La prescription de l'action pénale pour le crime préalable entraîne quant à elle la prescription de la confisca- tion, rendant par là le blanchissage inconcevable (CASSANI, Commentaire du droit pénal suisse, Berne 1996, no 13 ad art. 305bis CP). Le juge suisse devra se convaincre de l'origine criminelle des fonds sur la base des pres- criptions helvétiques en matière de preuve; peu importe à cet égard qu'un jugement ait été rendu ou non à l'étranger (KISTLER, op. cit., p. 87 et réfé- rences citées). Certes, lorsque le crime générateur des fonds blanchis en Suisse a été constaté dans un jugement étranger passé en force, le juge du blanchiment pourra en principe se fonder sur cette condamnation (TPF 2011 8 consid. 3.2.2 et références citées). Dans le cas d'un plea bar-</w:t>
      </w:r>
    </w:p>
    <w:p>
      <w:r>
        <w:t>- 12 -</w:t>
      </w:r>
    </w:p>
    <w:p>
      <w:r>
        <w:t>gain, le juge ne peut cependant se limiter à retenir les seuls points de l'ac- cusation sur lesquels les parties sont arrivées à un accord. Il devra procé- der dans ce contexte à des compléments d'enquête afin de pouvoir prendre en considération, le cas échéant, des éléments déterminants pour établir le crime préalable mais qui, en raison de la négociation intervenue, ont été abandonnés par l'accusation (GRABER, op. cit., p. 129 s). Un classement à l'étranger pour la répression de l'infraction originaire ne signifie pas non plus que le non-lieu soit acquis pour la procédure de blanchiment en Suisse (TPF 2011 8 consid. 3.2.2 et références citées). En vertu du prin- cipe «ne bis in idem», un acquittement prononcé à l'étranger ou en Suisse à l'égard du crime préalable, peut avoir pour conséquence, suivant ce que contient la motivation du jugement, que l'auteur acquitté du crime préalable ne peut plus être poursuivi en Suisse pour blanchiment (SCHMID, Anwen- dungsfragen der Straftatbestände gegen die Geldwäscherei, vor allem StGB Art. 305bis, in: Geldwäscherei und Sorgfaltspflicht, SAV 8 [1991], p. 116). 5.5 En l'occurrence, il ressort des éléments du dossier qu'entre le 30 sep- tembre 1998 et le 5 juin 2006, A., alors CEO de la société B., a reçu plus de USD 24 mios de la part des sociétés détenues par C. par le biais de 45 paiements. Ceux-ci ont été reçus sur quatre comptes différents, dont un ouvert au Liechtenstein, un autre au Luxembourg et deux en Suisse: la re- lation ouverte au nom de I. Ltd auprès de la banque J. et celle intitulée K. compte no 2 ouvert au nom de A. auprès de la banque F. (act. 5.7, act. 24). Neuf paiements ont alimenté le compte K., dont deux après le 1er mai 2000, date de l'entrée en vigueur de la disposition pénale suisse relative à la cor- ruption d'agents publics étrangers (art. 322septies CP). Il s'agit d'abord d'un versement de USD 1 mio effectué le 30 juillet 2002 par le débit du compte de L. Limited, une des sociétés dont C. est l'ayant droit économique (act. 24.2 annexe 11b); ensuite ledit compte a également été crédité le 3 octobre 2003 d'un montant de USD 2 mios à partir du compte no 3 d'une autre so- ciété de C.: M. Limited (M.; act. 24.2 annexe 11a). Ces deux paiements fi- gurent certes parmi ceux pour lesquels C. a bénéficié d'un acquittement en Angleterre (act. 1.2 p. 2; pièces MPC, transcripts procès de Londres, jour 22, p. 9-14). Il reste que le recourant, qui n'était pas partie au procès en Angleterre, ne peut se prévaloir du principe «ne bis in idem». Au surplus, ainsi que le relève le MPC, l'enquête ouverte en Suisse est toujours en cours. A ce propos, l'autorité de poursuite indique même envisager d'étendre la procédure à certaines des sociétés de C. (act. 24 p. 3) à tra- vers lesquelles les paiements incriminés ont été effectués et qui n'étaient pas parties à la procédure anglaise ouverte contre C. (cf. également arrêt du Tribunal pénal fédéral RR.2014.226 du 17 décembre 2014, consid. 6.2). Dans ce contexte, on ne saurait faire abstraction des condamnations inter-</w:t>
      </w:r>
    </w:p>
    <w:p>
      <w:r>
        <w:t>- 13 -</w:t>
      </w:r>
    </w:p>
    <w:p>
      <w:r>
        <w:t>venues dans le même complexe de faits, mais après l'acquittement de C. Ainsi, il y a lieu de retenir qu'en janvier 2014, la société E. a été condam- née notamment pour avoir chargé C. de verser de l'argent au recourant compte tenu de l'influence que ce dernier pouvait avoir sur le processus décisionnel au sein de la société B. (cf. supra let. F). Les faits admis par la société E. dans le cadre du plea agreement - auquel le MPC est en droit de se référer à titre de preuve (ZR 103/2004 du 2 octobre 2003, consid. II d et f) - portent au demeurant précisément sur l'ampleur de la corruption à la- quelle le recourant apparaît avoir pleinement participé. Par ailleurs, en Nor- vège, l'autorité de poursuite pénale OKOKRIM a condamné G. SA à une amende de quelque CHF 3 mios ainsi qu'à une confiscation de CHF 1,7 mios en raison du fait que cette dernière société a reconnu avoir versé, dans le cadre d'un contrat passé avec la société B. destiné au trans- port de l'alumine depuis l'Australie vers le pays Z., près de USD 2,6 mios, dont une partie importante était destinée au recourant eu égard à son in- fluence sur les décisions de la société B. (act. 5.11). Enfin, H. qui était le CEO de la société B. a été condamné le 22 juillet 2014 en Angleterre du chef de conspiracy to corrupt pour avoir reçu de la part de C. GBP 2,9 mios de pots-de-vin sur une période d'au moins 8 ans (pièces dossier MPC A-18-02-02-1305; A-8-02-02-1161 ss). Il ressort des minutes du procès de H. à quel point le recourant était impliqué dans le mécanisme de corruption pour lequel lesdites condamnations ont été prononcées (pièces dossier MPC A-18-02-02-1160 ss). 5.6 Compte tenu des éléments qui précèdent, l'implication du recourant dans le mécanisme de corruption sous enquête a clairement été établie au-delà de l'acquittement prononcé en faveur de C. en Angleterre. Or, c'est le lieu de rappeler que tant que subsiste un doute sur la part des fonds qui pourrait provenir d'une activité criminelle, l'intérêt public commande que ceux-ci demeurent à la disposition de la justice, le séquestre pouvant aussi être or- donné en vue de l'exécution d'une créance compensatrice (art. 71 al. 3, 1re phrase CP; arrêts du Tribunal fédéral 1B_390/2013 du 10 janvier 2014, consid. 2.1, 1B_175/2012 du 5 septembre 2012, consid. 4.1 et 1P.405/1993 du 8 novembre 1993, consid. 3 publié in SJ 1994 p. 97). Il ré- sulte de ce qui précède que le grief doit être écarté.</w:t>
      </w:r>
    </w:p>
    <w:p>
      <w:r>
        <w:rPr>
          <w:b/>
        </w:rPr>
        <w:t>E. 6</w:t>
      </w:r>
    </w:p>
    <w:p>
      <w:r>
        <w:t>Les arguments ci-avant développés conduisent au rejet du recours.</w:t>
      </w:r>
    </w:p>
    <w:p>
      <w:r>
        <w:t>- 14 -</w:t>
      </w:r>
    </w:p>
    <w:p>
      <w:r>
        <w:rPr>
          <w:b/>
        </w:rPr>
        <w:t>E. 7.1</w:t>
      </w:r>
    </w:p>
    <w:p>
      <w:r>
        <w:t>En tant que partie qui succombe, le recourant se voit mettre à sa charge les frais, et ce en application de l'art. 428 al. 1 CPP selon lequel les frais de la procédure de recours sont mis à la charge des parties dans la mesure où elles ont obtenu gain de cause ou succombé. Ceux-ci se limitent en l'es- pèce à un émolument, qui, en application des art. 5 et 8 al. 1 du Règlement du Tribunal pénal fédéral du 31 août 2010 sur les frais, émoluments, dé- pens et indemnités de la procédure pénale fédérale (RFPPF; RS 173.713.162), sera fixé à CHF 2'000.--. Il est mis à la charge solidaire du recourant, de D. et de C. lesquels ont soutenu les conclusions du recou- rant.</w:t>
      </w:r>
    </w:p>
    <w:p>
      <w:r>
        <w:rPr>
          <w:b/>
        </w:rPr>
        <w:t>E. 7.2</w:t>
      </w:r>
    </w:p>
    <w:p>
      <w:r>
        <w:t>La société B. ayant retiré sa constitution de partie plaignante, il n'y a pas lieu d'allouer des dépens.</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