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BB.2014.111 vom 7. August 2014</w:t>
      </w:r>
    </w:p>
    <w:p>
      <w:r>
        <w:t>Bundesstrafgericht, 2014-08-07, FR</w:t>
      </w:r>
    </w:p>
    <w:p>
      <w:r>
        <w:rPr>
          <w:b/>
        </w:rPr>
        <w:t xml:space="preserve">Quelle: </w:t>
      </w:r>
      <w:r>
        <w:t>https://mcp.opencaselaw.ch/entscheid/bstger_BB.2014.111</w:t>
      </w:r>
    </w:p>
    <w:p>
      <w:r>
        <w:t>FR: TPF BB.2014.111 du 7 août 2014</w:t>
      </w:r>
    </w:p>
    <w:p>
      <w:r>
        <w:t>IT: TPF BB.2014.111 del 7 agosto 2014</w:t>
      </w:r>
    </w:p>
    <w:p>
      <w:pPr>
        <w:pStyle w:val="Heading2"/>
      </w:pPr>
      <w:r>
        <w:t>Regeste</w:t>
      </w:r>
    </w:p>
    <w:p>
      <w:r>
        <w:t>Déni de justice (art. 393 al. 2 let. a CPP). Effet suspensif et mesures provisionnelles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déposé par A. a effet suspensif.</w:t>
      </w:r>
    </w:p>
    <w:p>
      <w:r>
        <w:rPr>
          <w:b/>
        </w:rPr>
        <w:t>E. 2</w:t>
      </w:r>
    </w:p>
    <w:p>
      <w:r>
        <w:t>Le Ministère public de la Confédération est invité à trancher la requête de destruction de contrôle téléphonique de A. du 25 juillet 2014 avant l'audition de C. ou de tout autre employé de la banque D.</w:t>
      </w:r>
    </w:p>
    <w:p>
      <w:r>
        <w:rPr>
          <w:b/>
        </w:rPr>
        <w:t>E. 3</w:t>
      </w:r>
    </w:p>
    <w:p>
      <w:r>
        <w:t>Les frais sont mis à la charge de la Confédération.</w:t>
      </w:r>
    </w:p>
    <w:p>
      <w:r>
        <w:rPr>
          <w:b/>
        </w:rPr>
        <w:t>E. 4</w:t>
      </w:r>
    </w:p>
    <w:p>
      <w:r>
        <w:t>Une équitable indemnité de partie est allouée à A. pour la défense de ses in- térêts." (act. 1, p. 4),</w:t>
      </w:r>
    </w:p>
    <w:p>
      <w:r>
        <w:t>et considérant:</w:t>
      </w:r>
    </w:p>
    <w:p>
      <w:r>
        <w:t>que l'autorité de céans examine d'office la recevabilité des recours qui lui sont adressés (ATF 122 IV 188 consid. 1 et arrêts cités);</w:t>
      </w:r>
    </w:p>
    <w:p>
      <w:r>
        <w:t>que, selon l'art. 390 al. 2 CPP a contrario, un recours manifestement irreceva- ble ou mal fondé peut être traité sans échange d'écritures;</w:t>
      </w:r>
    </w:p>
    <w:p>
      <w:r>
        <w:t>que tel est le cas en l'espèce et ce pour les raisons qui suivent;</w:t>
      </w:r>
    </w:p>
    <w:p>
      <w:r>
        <w:t>qu'en effet, le recourant ne revêt pas la qualité de "partie" à la procédure pé- nale diligentée par le MPC contre B. et consorts;</w:t>
      </w:r>
    </w:p>
    <w:p>
      <w:r>
        <w:t>qu'en revanche, il a le statut d'autre participant à la procédure au sens de l'art. 105 al. 1 let. d CPP et peut donc, en application de l'alinéa 2 de cette disposition bénéficier des droits de partie "dans la mesure nécessaire à la sauvegarde de ses intérêts";</w:t>
      </w:r>
    </w:p>
    <w:p>
      <w:r>
        <w:t>que, néanmoins, il ne ressort pas de son recours en quoi l'audition prévue du dénommé C. serait susceptible de léser les intérêts du recourant;</w:t>
      </w:r>
    </w:p>
    <w:p>
      <w:r>
        <w:t>que, quand bien même ce dernier avance qu'un contrôle téléphonique préten- dument illicite serait opposé audit C. lors de l'audition prévue, cet argument n'apparaît relever que de la pure supposition, n'étant étayé ni en fait, ni en droit;</w:t>
      </w:r>
    </w:p>
    <w:p>
      <w:r>
        <w:t>- 4 -</w:t>
      </w:r>
    </w:p>
    <w:p>
      <w:r>
        <w:t>qu'à ce titre, la seule allégation selon laquelle "le contenu de l'écoute télépho- nique est susceptible de causer du tort à A., voire même d'amener son em- ployeur à remettre en cause la confiance placée dans son employé" ne per- met pas à la Cour de déterminer si la condition du préjudice – sinon irrépara- ble à tout le moins – difficilement réparable nécessaire à l'octroi de l'effet sus- pensif et/ou de mesures provisionnelles (v. JdT 2008 IV 66, no 312 p. 161; KOLLY, Le pourvoi en nullité à la Cour de cassation pénale du Tribunal fédéral: un aperçu de la pratique, Berne 2004, p. 58 s. no 5.3.6; CORBOZ, in Commen- taire de la LTF, 2e éd. 2014, nos 26 et 28 ad art. 103; DONZALLAZ, Loi sur le Tribunal fédéral – Commentaire, 2008, no 4166) est dûment réalisée en l'es- pèce;</w:t>
      </w:r>
    </w:p>
    <w:p>
      <w:r>
        <w:t>que sur le vu des considérations qui précèdent, le recours – au même titre que la requête d'effet suspensif et de mesures provisionnelles l'accompa- gnant –, manifestement mal fondés, doivent être rejetés aux frais de leur au- teur.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