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BB.2014.110 vom 17. September 2014</w:t>
      </w:r>
    </w:p>
    <w:p>
      <w:r>
        <w:t>Bundesstrafgericht, 2014-09-17, FR</w:t>
      </w:r>
    </w:p>
    <w:p>
      <w:r>
        <w:rPr>
          <w:b/>
        </w:rPr>
        <w:t xml:space="preserve">Quelle: </w:t>
      </w:r>
      <w:r>
        <w:t>https://mcp.opencaselaw.ch/entscheid/bstger_BB.2014.110</w:t>
      </w:r>
    </w:p>
    <w:p>
      <w:r>
        <w:t>FR: TPF BB.2014.110 du 17 septembre 2014</w:t>
      </w:r>
    </w:p>
    <w:p>
      <w:r>
        <w:t>IT: TPF BB.2014.110 del 17 settembre 2014</w:t>
      </w:r>
    </w:p>
    <w:p>
      <w:pPr>
        <w:pStyle w:val="Heading2"/>
      </w:pPr>
      <w:r>
        <w:t>Regeste</w:t>
      </w:r>
    </w:p>
    <w:p>
      <w:r>
        <w:t>Entraide judiciaire nationale (art. 48 al. 2 CPP).</w:t>
      </w:r>
    </w:p>
    <w:p>
      <w:pPr>
        <w:pStyle w:val="Heading2"/>
      </w:pPr>
      <w:r>
        <w:t>Erwägungen</w:t>
      </w:r>
    </w:p>
    <w:p>
      <w:r>
        <w:rPr>
          <w:b/>
        </w:rPr>
        <w:t>E. 1</w:t>
      </w:r>
    </w:p>
    <w:p>
      <w:r>
        <w:t>La Cour des plaintes statue sur les affaires dont le CPP attribue la compé- tence à l'autorité de recours ou au Tribunal pénal fédéral (art. 37 al. 1 de la loi fédérale sur l'organisation des autorités pénales de la Confédération; [LOAP]; RS 173.71 en lien avec l'art. 19 al. 1 du règlement sur l'organisa- tion du Tribunal pénal fédéral; [ROTPF]; RS 173.713.161).</w:t>
      </w:r>
    </w:p>
    <w:p>
      <w:r>
        <w:rPr>
          <w:b/>
        </w:rPr>
        <w:t>E. 2.1</w:t>
      </w:r>
    </w:p>
    <w:p>
      <w:r>
        <w:t>Il y a lieu de clarifier en premier lieu si l'autorité de céans est compétente pour connaître de "la demande de règlement de différend" qui lui est sou- mise par le MPC. Celui-ci, se référant à l'art. 48 al. 2 CPP pour fonder la compétence de l'autorité de céans, invoque que l'OFJ lui a refusé une me- sure d'entraide judiciaire. Ledit office retient pour sa part que la demande du MPC ne peut être qualifiée comme telle.</w:t>
      </w:r>
    </w:p>
    <w:p>
      <w:r>
        <w:rPr>
          <w:b/>
        </w:rPr>
        <w:t>E. 2.2</w:t>
      </w:r>
    </w:p>
    <w:p>
      <w:r>
        <w:t>L'art. 48 CPP précise que les conflits en matière d'entraide judiciaire entre les autorités du même canton sont tranchés définitivement par l'autorité de recours de ce canton (al. 1). Les conflits entre les autorités de la Confédé- ration et des cantons ainsi qu'entre les autorités de différents cantons sont tranchés par le Tribunal pénal fédéral (al. 2). Ainsi, cette disposition ne pré- voit-elle pas que l'autorité de céans serait compétente en cas de conflit en matière d'entraide judiciaire entre autorités fédérales. SCHMID est cepen- dant favorable à cette solution (Schweizerische Strafprozessordnung, Pra- xiskommentar, 2e éd., Zurich/St-Gall 2013, no 5 ad art. 48). Toutefois, compte tenu de l'issue de la cause, la question de savoir si la Cour de céans est compétente en cas de litige entre deux autorités fédérales peut rester ouverte.</w:t>
      </w:r>
    </w:p>
    <w:p>
      <w:r>
        <w:rPr>
          <w:b/>
        </w:rPr>
        <w:t>E. 2.3</w:t>
      </w:r>
    </w:p>
    <w:p>
      <w:r>
        <w:t>En effet, la norme précitée s'inscrit dans le chapitre des dispositions géné- rales relatives à l'entraide judiciaire nationale (art. 43 ss CPP). Par entraide judiciaire, on entend toute mesure requise par une autorité en vertu de la compétence qu'elle exerce dans le cadre d'une procédure pénale pendante (art. 43 al. 4 CPP). Le Message précise à cet égard qu'il s'agit concrète-</w:t>
      </w:r>
    </w:p>
    <w:p>
      <w:r>
        <w:t>- 5 -</w:t>
      </w:r>
    </w:p>
    <w:p>
      <w:r>
        <w:t>ment au premier chef de l’assistance que doivent se prêter mutuellement le ministère public, les autorités pénales compétentes en matière de contra- ventions et les tribunaux. L’entraide englobe également les actes de procé- dure exécutés par la police sur les instructions des autorités susmention- nées. L’entraide judiciaire comprend toutefois aussi des prestations four- nies par d’autres autorités de la Confédération ou des cantons (y compris les autorités communales) aux autorités pénales susmentionnées (Message du 21 décembre 2005 relatif à l’unification du droit de la procédu- re pénale, FF 2006 1057, p. 1121 pt. 2.2.4.1). La jurisprudence du Tribunal fédéral considère pour sa part que l'entraide judiciaire porte sur toute me- sure qu'une autorité est requise de prendre, dans les limites de sa compé- tence, au cours d'une poursuite pénale pendante pour les fins de la pour- suite ou pour l'exécution du jugement (ATF 102 IV 217 consid. 2; 96 IV 181 consid. 1) c'est-à-dire, ainsi définie, toute opération qu'un organe étatique est habilité à accomplir et qui est en rapport avec une affaire péna- le, peu importe qu'elle en soit au stade des recherches préliminaires, dans la phase de l'instruction ou de l'exécution du jugement (MOREILLON/PAREIN- REYMOND, Petit Commentaire, Code de procédure pénale, Bâle 2013, n° 5 rem. prél. aux art. 43 à 55 et référence citée; SCHMITT, Schweizerische Strafprozessordnung, Basler Kommentar, Bâle 2011, no 8 ad art. 43; RIKLIN, StPO Kommentar, Schweizerische Strafprozessordnung mit JStPO, StBOG und weiteren Erlassen, 2e éd., Zurich 2014, Vorbem. Art. 43-53 nos 1 et 2). Ainsi, pratiquement, tout acte de coopération nécessité par les besoins de l'enquête, en relation avec cette dernière, tombe sous le coup de l'art. 43 al. 4 CPP. On envisagera dès lors les actes de recherche, d'ins- truction, les citations, les auditions de témoins ou de personnes chargées de donner des renseignements, les perquisitions, les séquestres, les re- quêtes tendant à autoriser un fonctionnaire à déposer ou à produire des documents officiels, la levée du secret postal ou de télécommunication (MOREILLON/PAREIN-REYMOND, op. cit., no 14 ad art. 43 et références citées; SCHMITT, op. cit., no 15 ad art. 43 et références citées).</w:t>
      </w:r>
    </w:p>
    <w:p>
      <w:r>
        <w:rPr>
          <w:b/>
        </w:rPr>
        <w:t>E. 2.4</w:t>
      </w:r>
    </w:p>
    <w:p>
      <w:r>
        <w:t>En l'espèce, le MPC a demandé à l'OFJ qu'il lui fournisse l'assurance qu'en cas de libération de A. sous mesures de substitution – ce qui ne s'est au demeurant pas produit (supra let. A in fine) –, il renonce à l'extradition im- médiate de celui-ci jusqu'à l'entrée en force du jugement de la Cour des af- faires pénales. Vu les éléments développés au considérant qui précède, il y a lieu d'admettre cependant que la requête formulée par le MPC à l'atten- tion de l'OFJ vise à ce que ce dernier sursoie à exécuter une compétence qui lui appartient, à savoir procéder à l'extradition de A. En ce sens, la de- mande du MPC excède clairement le cadre des mesures qu'il est habilité à prendre dans le contexte de la procédure pénale qu'il conduit. Dès lors, for- ce est de constater que ladite requête ne constitue manifestement pas une</w:t>
      </w:r>
    </w:p>
    <w:p>
      <w:r>
        <w:t>- 6 -</w:t>
      </w:r>
    </w:p>
    <w:p>
      <w:r>
        <w:t>mesure qui relève de l'entraide judiciaire nationale telle que prévue à l'art. 43 al. 4 CPP.</w:t>
      </w:r>
    </w:p>
    <w:p>
      <w:r>
        <w:rPr>
          <w:b/>
        </w:rPr>
        <w:t>E. 3</w:t>
      </w:r>
    </w:p>
    <w:p>
      <w:r>
        <w:t>Il résulte de ce qui précède que la demande de différend adressée par le MPC à l'autorité de céans est irrecevable.</w:t>
      </w:r>
    </w:p>
    <w:p>
      <w:r>
        <w:rPr>
          <w:b/>
        </w:rPr>
        <w:t>E. 4</w:t>
      </w:r>
    </w:p>
    <w:p>
      <w:r>
        <w:t>La présente décision est rendue sans frais (art. 423 al. 1 CPP).</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