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BB.2014.105 vom 9. Dezember 2014</w:t>
      </w:r>
    </w:p>
    <w:p>
      <w:r>
        <w:t>Bundesstrafgericht, 2014-12-09, DE</w:t>
      </w:r>
    </w:p>
    <w:p>
      <w:r>
        <w:rPr>
          <w:b/>
        </w:rPr>
        <w:t xml:space="preserve">Quelle: </w:t>
      </w:r>
      <w:r>
        <w:t>https://mcp.opencaselaw.ch/entscheid/bstger_BB.2014.105</w:t>
      </w:r>
    </w:p>
    <w:p>
      <w:r>
        <w:t>FR: TPF BB.2014.105 du 9 décembre 2014</w:t>
      </w:r>
    </w:p>
    <w:p>
      <w:r>
        <w:t>IT: TPF BB.2014.105 del 9 dicembre 2014</w:t>
      </w:r>
    </w:p>
    <w:p>
      <w:pPr>
        <w:pStyle w:val="Heading2"/>
      </w:pPr>
      <w:r>
        <w:t>Regeste</w:t>
      </w:r>
    </w:p>
    <w:p>
      <w:r>
        <w:t>Einstellung des Verfahrens (Art. 322 Abs. 2 StPO). Ausstand des Staatsanwalts des Bundes (Art. 59 Abs. 1 lit. b i.V.m. Art. 56 StPO).</w:t>
      </w:r>
    </w:p>
    <w:p>
      <w:pPr>
        <w:pStyle w:val="Heading2"/>
      </w:pPr>
      <w:r>
        <w:t>Erwägungen</w:t>
      </w:r>
    </w:p>
    <w:p>
      <w:r>
        <w:rPr>
          <w:b/>
        </w:rPr>
        <w:t>E. 1.1</w:t>
      </w:r>
    </w:p>
    <w:p>
      <w:r>
        <w:t>Gegen die Einstellungsverfügung der Bundesanwaltschaft können die Par- teien innert zehn Tagen bei der Beschwerdekammer des Bundesstrafge- richts Beschwerde erheben (Art. 322 Abs. 2 StPO i.V.m. Art. 37 Abs. 1 StBOG [Strafbehördenorganisationsgesetz, SR 173.71]). Voraussetzung zur Beschwerdeerhebung ist dabei auf Seiten der Partei ein rechtlich ge- schütztes Interesse an der Aufhebung oder Änderung der angefochtenen Verfügung (Art. 382 Abs. 1 StPO). Mit der Beschwerde gerügt werden kön- nen gemäss Art. 393 Abs. 2 StPO Rechtsverletzungen, einschliesslich Überschreitung und Missbrauch des Ermessens, Rechtsverweigerung und Rechtsverzögerung (lit. a), die unvollständige oder unrichtige Feststellung des Sachverhalts (lit. b) sowie die Unangemessenheit (lit. c).</w:t>
      </w:r>
    </w:p>
    <w:p>
      <w:r>
        <w:rPr>
          <w:b/>
        </w:rPr>
        <w:t>E. 1.2</w:t>
      </w:r>
    </w:p>
    <w:p>
      <w:r>
        <w:t>Die auf den 14. Juli 2014 datierte Beschwerde gegen die Einstellungsver- fügung vom 26. Juni 2014, genehmigt vom Leitenden Staatsanwalt am</w:t>
      </w:r>
    </w:p>
    <w:p>
      <w:r>
        <w:rPr>
          <w:b/>
        </w:rPr>
        <w:t>E. 1.3.1</w:t>
      </w:r>
    </w:p>
    <w:p>
      <w:r>
        <w:t>Will eine Partei den Ausstand einer in einer Strafbehörde tätigen Person verlangen, so hat sie zunächst der Verfahrensleitung ohne Verzug ein ent- sprechendes Gesuch zu stellen, sobald sie vom Ausstandsgrund Kenntnis hat (Art. 58 Abs. 1 StPO). Gemäss Art. 58 Abs. 2 StPO nimmt die betroffe- ne Person zum Gesuch Stellung. Nach der Rechtsprechung handelt es sich dabei um eine zwingende Bestimmung (BGE 138 IV 222 E. 2.1). Sie dient der Abklärung des Sachverhalts und die in der Strafbehörde tätige Person ist daher zu Stellungnahme verpflichtet. Darüber hinaus garantiert diese Bestimmung der abgelehnten Person das rechtliche Gehör (s. zum Ganzen MARKUS BOOG, in Basler Kommentar, Schweizerische Strafprozessord- nung, 2011, Art. 58 N 11). Ist die Verfahrensleitung selbst vom Ausstands- gesuch betroffen, ist das Gesuch der übergeordneten Stelle einzureichen (BOOG, a.a.O., Art. 58 N 10 mit Verweis in FN 42 auf Art. 57 N 5). Aus- standsbegehren gegen die Bundesanwaltschaft entscheidet gemäss Art. 59 Abs. 1 lit. b StPO i.V.m. Art. 37 Abs. 1 StBOG die Beschwerdekammer des Bundestrafgerichts.</w:t>
      </w:r>
    </w:p>
    <w:p>
      <w:r>
        <w:t>- 5 -</w:t>
      </w:r>
    </w:p>
    <w:p>
      <w:r>
        <w:t>Entgegen den Vorgaben von Art. 58 Abs. 1 StPO wurde vorliegend das Ausstandsgesuch im Rahmen der Beschwerde gegen die Einstellungsver- fügung direkt bei der Beschwerdeinstanz gestellt. Der zuständige Staats- anwalt wurde zwar im Rahmen des Schriftenwechsels zur Stellungnahme zur Beschwerde eingeladen. Er äusserte sich allerdings in seiner Be- schwerdeantwort nicht zum Ausstandsgesuch. Angesichts des Umstands, dass das Ausstandsgesuch in concreto nach verfügter Einstellung erfolgte und in diesem Zusammenhang ein Beschwerdeverfahren am hiesigen Ge- richt hängig ist, sowie mit Blick auf das materielle Prüfungsergebnis (s. nachfolgend) ist von einer Weiterleitung des Gesuchs im Sinne von Art. 58 Abs. 1 StPO vorliegend abzusehen und direkt darüber zu entschei- den.</w:t>
      </w:r>
    </w:p>
    <w:p>
      <w:r>
        <w:rPr>
          <w:b/>
        </w:rPr>
        <w:t>E. 1.3.2</w:t>
      </w:r>
    </w:p>
    <w:p>
      <w:r>
        <w:t>Das Ausstandsbegehren ist zehn Tage, nachdem der Beschwerdeführer Kenntnis von der Einstellungsverfügung erhalten hat, gestellt worden. In- dessen hat der Beschwerdeführer erstmals Akteneinsicht am 8. Juli 2014 erhalten, so dass ihm die Grund für sein Ausstandsbegehren bildende Un- tersuchungsführung durch Staatsanwalt F. erstmals ab diesem Zeitpunkt bekannt wurde. Das Ausstandsbegehren hat damit als unverzüglich gestellt zu gelten und es ist darauf einzutreten.</w:t>
      </w:r>
    </w:p>
    <w:p>
      <w:r>
        <w:rPr>
          <w:b/>
        </w:rPr>
        <w:t>E. 2</w:t>
      </w:r>
    </w:p>
    <w:p>
      <w:r>
        <w:t>Ermächtigung zur Strafverfolgung</w:t>
      </w:r>
    </w:p>
    <w:p>
      <w:r>
        <w:rPr>
          <w:b/>
        </w:rPr>
        <w:t>E. 2.1</w:t>
      </w:r>
    </w:p>
    <w:p>
      <w:r>
        <w:t>Die verfahrensgegenständliche Strafuntersuchung richtet sich gegen zwei Transportpolizisten der SBB AG.</w:t>
      </w:r>
    </w:p>
    <w:p>
      <w:r>
        <w:rPr>
          <w:b/>
        </w:rPr>
        <w:t>E. 2.2</w:t>
      </w:r>
    </w:p>
    <w:p>
      <w:r>
        <w:t>Gemäss Art. 15 Abs. 1 des Bundesgesetzes über die Verantwortlichkeit des Bundes sowie seiner Behördemitglieder und Beamten (VG; SR 170.32) bedarf die Strafverfolgung von Beamten wegen strafbarer Handlungen, die sich auf ihre amtliche Tätigkeit oder Stellung beziehen, ausgenommen we- gen Widerhandlungen im Strassenverkehr, einer Ermächtigung des Eidge- nössischen Justiz- und Polizeidepartements (oder anderer Behörden in den Fällen von Art. 15 Abs. 1 lit. a bis d VG; zur früheren Ermächtigungskompe- tenz der Bundesanwaltschaft betreffend Angestellte des Bundes s. aArt. 7 Abs. 1 der Verordnung zum Verantwortlichkeitsgesetz [SR 170.321]). Kan- tonale Strafverfolgungsbehörden, bei denen solche Fälle angezeigt wer- den, haben unverzüglich um diese Ermächtigung nachzusuchen und dring- liche sichernde Massnahmen zu treffen (Art. 15 Abs. 2 VG). Die Bestim- mung bezweckt den Schutz des Beamten vor Belästigung durch ungerecht- fertigte Strafanzeigen und gleichzeitig einen reibungslosen Gang der Ver- waltung (BGE 139 IV 161 E. 2.3, mit weiteren Hinweisen).</w:t>
      </w:r>
    </w:p>
    <w:p>
      <w:r>
        <w:t>- 6 -</w:t>
      </w:r>
    </w:p>
    <w:p>
      <w:r>
        <w:t>In Art. 1 VG werden alle Personen aufgeführt, denen die Ausübung eines öffentlichen Amtes des Bundes übertragen ist und die den Bestimmungen des VG unterstehen. Gemäss Art. 1 lit. e VG fallen unter das VG die Beam- ten und übrigen Arbeitskräfte des Bundes und gemäss lit. f alle anderen Personen, insoweit sie unmittelbar mit öffentlichrechtlichen Aufgaben des Bundes betraut sind. Für die Anwendbarkeit des Verantwortlichkeitsge- setzes ist nicht erforderlich, dass eine mit öffentlichrechtlichen Aufgaben des Bundes betraute Person in einem Dienstverhältnis zum Bund, sei es öffentlichrechtlicher oder privatrechtlicher Natur, stehe (BGE 94 I 639; BGE 88 II 444). Es ist nicht einmal notwendig, dass ihr selber durch ein Or- gan des Bundes die Wahrnehmung einer entsprechenden Aufgabe über- tragen worden sei. Es genügt, wenn ihr Arbeitgeber oder Vorgesetzter mit einer öffentlichrechtlichen Aufgabe des Bundes betraut worden ist und die- ser Auftrag den Beizug von entsprechenden Mitarbeitern in sich schliesst (BGE 106 Ib 273 E. 2a).</w:t>
      </w:r>
    </w:p>
    <w:p>
      <w:r>
        <w:t>Für die Angestellten der SBB AG gilt zwar das Bundespersonalgesetz vom 24. März 2000 (BPG; SR 172.220.1) (Art. 2 Abs. 1 lit. d BPG i.V.m. Art. 15 Abs. 1 des Bundesgesetzes über die Schweizerischen Bundesbahnen [SBBG; SR 742.31]). Sie erfüllen aber den institutionellen Beamtenbegriff nicht, da mit Erlass des SBBG der Betrieb der Bundesbahn aus der Bun- desverwaltung herausgelöst wurde. Ob im Strafrecht die Angestellten der SBB AG den funktionalen Beamtenbegriff erfüllen, ist von der Funktion ih- rer Verrichtungen abhängig (BGE 135 IV 198 E. 3.3). Zur Klarstellung wur- de mit Bezug auf die Straftatbestände von Art. 285 StGB (Gewalt und Dro- hung gegen Behörden und Beamte) und Art. 286 StGB (Hinderung einer Amtshandlung) der Begriff des Beamten unter anderem explizit auf Ange- stellte von Unternehmen nach dem Eisenbahngesetz vom 20. Dezem- ber 1957 (EBG; SR 742.101) ausgedehnt (Botschaft zur Bahnreform 2 vom 23. Februar 2005, BBl 2005 2415 ff., 2526). Bezüglich der vorgenannten Strafbestimmungen gelten demnach auch die Angestellten der SBB AG (als Angestellte von Unternehmen nach EBG [Art. 1 Abs. 2 EBG i.V.m. Art. 2 Abs. 3 SBBG]) als Beamte. Auch wenn der strafrechtliche Begriff des Beamten (im Allgemeinen im Sinne von Art. 110 Abs. 3 StGB oder punktu- ell im Sinne von Art. 285 und 286 StGB) und derjenige nach VG grundsätz- lich denselben Grundüberlegungen folgen (so BGE 70 IV 219; vgl. ROLAND HAUENSTEIN, Die Ermächtigung in Beamtenstrafsachen des Bundes, Bern 1995, S. 29), bedeutet dies nicht, dass sie in allen Fällen deckungs- gleich sind. Nach den Materialen zur Bahnreform fallen die Angestellten der SBB AG im Allgemeinen nicht unter eine der in Art. 1 Abs. 1 lit. b bis f VG aufgelisteten Personengruppen und damit auch nicht unter den Geltungs-</w:t>
      </w:r>
    </w:p>
    <w:p>
      <w:r>
        <w:t>- 7 -</w:t>
      </w:r>
    </w:p>
    <w:p>
      <w:r>
        <w:t>bereich des VG im Sinne von Art. 1 VG (BBl 2005 2415 ff., 2525; Zusatz- botschaft zur Bahnreform 2 vom 9. März 2007, BBl 2007 2681 ff., 2730). Die Verantwortlichkeit der SBB AG (als einer mit öffentlichrechtlichen Auf- gaben des Bundes betrauten und ausserhalb der ordentlichen Bundesver- waltung stehenden Organisation) und ihres Personals richtet sich vielmehr nach Art. 19 VG (Art. 1 Abs. 1 lit. b bis f VG e contrario; BBl 2005 2415 ff., 2525; BBl 2007 2681 ff., 2730). Gemäss Art. 19 Abs. 2 VG Satz 1 finden auf die strafrechtliche Verantwortlichkeit des Personals der mit Aufgaben des Bundes betrauten besonderen Organisationen grundsätzlich die Artikel 13 ff. und damit auch Art. 15 VG (Ermächtigungsvoraussetzung zur Straf- verfolgung) entsprechend Anwendung. Gemäss Art. 19 Abs. 2 VG Satz 2 (Fassung gemäss Ziff. II 1 des BG über die Bahnreform 2 vom 20. März 2009, in Kraft seit 1. Januar 2010 [AS 2009 5597]) gilt dies aber nicht für Angestellte und Beauftragte konzessionierter Transportunternehmen und damit auch nicht für die Angestellten der SBB AG (s. BBl 2005 2525; BBl 2007 2730). Für die Sicherheitsorgane der Transportunternehmen im öffentlichen Verkehr ist diese Bestimmung hingegen nicht massgebend. Gestützt auf das Bundesgesetz über die Sicherheitsorgane der Transport- unternehmen im öffentlichen Verkehr vom 18. Juni 2010 (BGST; SR 745.2) nehmen die Organe des Sicherheitsdienstes unmittelbar eine öffentlich- rechtliche Aufgabe im Sinne von Art. 1 Abs. 1 lit. f VG wahr und unterste- hen damit dem Geltungsbereich des VG im Sinne von dessen Art. 1 (BBl 2007 2712). Die Handlungen, welche den beiden Transportpolizisten zur Last gelegt werden, beziehen sich auf deren amtliche Tätigkeit. Zur Strafverfolgung der zwei Transportpolizisten der SBB AG bedarf es daher der Ermächtigung des Eidgenössischen Justiz- und Polizeidepartementes1.</w:t>
      </w:r>
    </w:p>
    <w:p>
      <w:r>
        <w:rPr>
          <w:b/>
        </w:rPr>
        <w:t>E. 2.3</w:t>
      </w:r>
    </w:p>
    <w:p>
      <w:r>
        <w:t>Gemäss Art. 303 Abs. 1 StPO wird bei Straftaten, die nur nach Ermächti- gung verfolgt werden, ein Vorverfahren erst eingeleitet, wenn die Ermächti- gung erteilt wurde. Die unaufschiebbaren sichernden Massnahmen kann die zuständige Behörde schon vorher treffen (Art. 303 Abs. 2 StPO). Dass vor der Ermächtigung keine Strafverfolgungshandlungen vorgenommen werden dürfen, ergibt sich auch aus dem Zweck der Regelung von Art. 15 VG (s. supra Ziff. 2.2; vgl. TPF 2012 30 E. 1.2). Das Vorverfahren besteht aus dem Ermittlungsverfahren der Polizei und der Untersuchung der Staatsanwaltschaft (Art. 299 Abs. 1 StPO). Das Vorverfahren wird eingelei- tet durch: a. die Ermittlungstätigkeit der Polizei; b. die Eröffnung einer Un- tersuchung durch die Staatsanwaltschaft (Art. 300 Abs. 1 StPO).</w:t>
      </w:r>
    </w:p>
    <w:p>
      <w:r>
        <w:t>1 Nachtrag: Gemäss Verfügung des EJPD vom 27. April 2015 bedarf es für die Strafverfolgung von Transportpolizisten der SBB AG keiner Ermächtigung im Sinne von Art. 15 VG.</w:t>
      </w:r>
    </w:p>
    <w:p>
      <w:r>
        <w:t>- 8 -</w:t>
      </w:r>
    </w:p>
    <w:p>
      <w:r>
        <w:t>Nach dem klaren Gesetzeswortlaut ist die Ermächtigung zur Strafverfol- gung im Voraus und möglichst frühzeitig einzuholen (BGE 139 IV 161 E. 2.5). Gleichwohl handelt es sich um eine positive Prozessvoraussetzung mit relativer Sperrwirkung (NIKLAUS SCHMID, Handbuch des schweizeri- schen Strafprozessrechts, 2. Aufl., Zürich/St. Gallen 2013, N. 320). Das Bundesgericht hat in BGE 110 IV 46 E. 3b S. 47 f. erwogen, dass eine ver- spätete Ermächtigung nicht die Nichtigkeit des Strafurteils zur Folge hat, wenn sie zu Beginn des Verfahrens vor der oberen kantonalen Instanz ein- geholt wird und dieser die volle rechtliche und tatsächliche Kognition zu- steht. An dieser Rechtsprechung hielt das Bundesgericht auch unter Gel- tung der neuen Strafprozessordnung fest (BGE 139 IV 161 E. 2.5; kritisch CHRISTOF RIEDO/LINDA SCHMID, "Fuzzy logic. Zur Möglichkeit der Heilung des Verfahrens bei verspätet eingeholter Ermächtigung" in AJP 6/2013 S. 956 ff.).</w:t>
      </w:r>
    </w:p>
    <w:p>
      <w:r>
        <w:rPr>
          <w:b/>
        </w:rPr>
        <w:t>E. 2.4</w:t>
      </w:r>
    </w:p>
    <w:p>
      <w:r>
        <w:t>Vorliegend haben weder die kantonalen Strafverfolgungsbehörden noch die Bundesanwaltschaft die Ermächtigung für die Strafverfolgung der beiden Transportpolizisten eingeholt. Die kantonalen Strafverfolgungsbehörden haben die beiden Transportpolizisten am 2. Februar 2014 in deren Doppel- rolle (als Geschädigte/Auskunftspersonen im Strafverfahren gegen den Be- schwerdeführer und zusätzlich als Beschuldigte/Auskunftspersonen im Strafverfahren gegen sie) polizeilich einvernommen und in der Folge die Bundesanwaltschaft mit Gerichtsstandsgesuch vom 20. März 2014 um Übernahme beider Verfahren ersucht. Die Bundesanwaltschaft hat am</w:t>
      </w:r>
    </w:p>
    <w:p>
      <w:r>
        <w:rPr>
          <w:b/>
        </w:rPr>
        <w:t>E. 6</w:t>
      </w:r>
    </w:p>
    <w:p>
      <w:r>
        <w:t>Zusammenfassend erweist sich die Beschwerde nach dem Gesagten als begründet und ist gutzuheissen. Die angefochtene Einstellungsverfügung ist aufzuheben und das Strafverfahren gegen die Beschwerdegegner 2 und 3 wegen Amtsmissbrauch, Tätlichkeit bzw. einfacher Körperverletzung, Drohung im Sinne der Erwägungen weiterzuführen. Das Ausstandsgesuch ist demgegenüber abzuweisen.</w:t>
      </w:r>
    </w:p>
    <w:p>
      <w:r>
        <w:rPr>
          <w:b/>
        </w:rPr>
        <w:t>E. 7</w:t>
      </w:r>
    </w:p>
    <w:p>
      <w:r>
        <w:t>Der Beschwerdeführer ist mit seinem Antrag auf Aufhebung der angefoch- tenen Verfügung durchgedrungen, das Ausstandsgesuch ist abzuweisen.</w:t>
      </w:r>
    </w:p>
    <w:p>
      <w:r>
        <w:t>- 16 -</w:t>
      </w:r>
    </w:p>
    <w:p>
      <w:r>
        <w:t>Er hat damit im Verfahren überwiegend obsiegt. Bei diesem Ausgang des Verfahrens hat der Beschwerdeführer die Gerichtskosten zu einem Viertel zu tragen (Art. 428 Abs. 1 StPO). Die reduzierte Gerichtsgebühr ist damit auf Fr. 500.-- festzusetzen (Art. 73 StBOG i.V.m. Art. 5 und 8 Abs. 1 des Reglements des Bundesstrafgerichts vom 31. August 2010 über die Kos- ten, Gebühren und Entschädigungen in Bundesstrafverfahren [BStKR; SR 173.713.162]). Die Bundesstrafgerichtskasse ist anzuweisen, dem Be- schwerdeführer Fr. 1'500.-- aus dem geleisteten Kostenvorschuss in der Höhe von Fr. 2'000.-- zurückzuerstatten.</w:t>
      </w:r>
    </w:p>
    <w:p>
      <w:r>
        <w:t>- 17 -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