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BB.2013.90 vom 17. Dezember 2013</w:t>
      </w:r>
    </w:p>
    <w:p>
      <w:r>
        <w:t>Bundesstrafgericht, 2013-12-17, DE</w:t>
      </w:r>
    </w:p>
    <w:p>
      <w:r>
        <w:rPr>
          <w:b/>
        </w:rPr>
        <w:t xml:space="preserve">Quelle: </w:t>
      </w:r>
      <w:r>
        <w:t>https://mcp.opencaselaw.ch/entscheid/bstger_BB.2013.90</w:t>
      </w:r>
    </w:p>
    <w:p>
      <w:r>
        <w:t>FR: TPF BB.2013.90 du 17 décembre 2013</w:t>
      </w:r>
    </w:p>
    <w:p>
      <w:r>
        <w:t>IT: TPF BB.2013.90 del 17 dicembre 2013</w:t>
      </w:r>
    </w:p>
    <w:p>
      <w:pPr>
        <w:pStyle w:val="Heading2"/>
      </w:pPr>
      <w:r>
        <w:t>Regeste</w:t>
      </w:r>
    </w:p>
    <w:p>
      <w:r>
        <w:t>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 desgesetzes vom 19. März 2010 über die Organisation der Strafbehörden des Bundes [Strafbehördenorganisationsgesetz, StBOG, SR 173.71]). Zur Beschwerde berechtigt ist jede Partei oder jeder andere Verfahrensbeteilig- te mit einem rechtlich geschützten Interesse an der Aufhebung oder Ände- rung des angefochtenen Entscheides (Art. 382 Abs. 1 i.V.m. Art. 105 Abs. 2 StPO; GUIDON, Die Beschwerde gemäss Schweizerischer Strafpro- zessordnung, Berner Diss., Zürich/St. Gallen 2011, N. 247 ff.; PIQUE- REZ/MACALUSO, Procédure pénale suisse, 3. Aufl., Genf/Zürich/Basel 2011, N. 1911).</w:t>
      </w:r>
    </w:p>
    <w:p>
      <w:r>
        <w:t>Die Beschwerde gegen schriftlich oder mündlich eröffnete Entscheide ist innert zehn Tagen schriftlich und begründet einzureichen (Art. 396 Abs. 1 StPO). Mit ihr können Rechtsverletzungen gerügt werden, ein- schliesslich Überschreitung und Missbrauch des Ermessens, Rechtsver- weigerung und Rechtsverzögerung (Art. 393 Abs. 2 lit. a StPO), sowie die unvollständige oder unrichtige Feststellung des Sachverhalts (Art. 393 Abs. 2 lit. b StPO) und die Unangemessenheit (Art. 393 Abs. 2 lit. c StPO).</w:t>
      </w:r>
    </w:p>
    <w:p>
      <w:r>
        <w:rPr>
          <w:b/>
        </w:rPr>
        <w:t>E. 1.2</w:t>
      </w:r>
    </w:p>
    <w:p>
      <w:r>
        <w:t>Geht es vorliegend um die Beurteilung, ob die Weiterleitung von Mandatie- rungsschreiben zu Recht unterblieben sei, setzt sich die Beschwerdein- stanz nicht mit der Frage auseinander, ob ein Verteidigerwechsel möglich oder nötig sei; auf entsprechende Ausführungen der Parteien ist nicht ein- zutreten.</w:t>
      </w:r>
    </w:p>
    <w:p>
      <w:r>
        <w:rPr>
          <w:b/>
        </w:rPr>
        <w:t>E. 1.3</w:t>
      </w:r>
    </w:p>
    <w:p>
      <w:r>
        <w:t>Auf Antrag 1 der Beschwerde kann nicht eingetreten werden, da vorliegend die Beschwerdeinstanz an die Bundesanwaltschaft keine allgemeine, über den vorliegenden Fall hinausgehende Weisungen richten kann (KELLER, Kommentar zur Schweizerischen Strafprozessordnung, Zürich 2010, Art. 397 N. 9; auch in diesem Sinne zu verstehen: Urteil des Bundesge- richts 1B_138/2013 vom 24. September 2013, E. 4.4 zum Ausstands- verfahren; SCHMID, Handbuch des Schweizerischen Strafprozessrechts, Zürich/St. Gallen 2013, N. 347 "Aus Gründen der Gewaltentrennung darf dieses Weisungs- und Auftragsrecht von den Gerichten nur zurückhaltend eingesetzt werden."; GUIDON, Die Beschwerde gemäss Schweizerischer Strafprozessordnung, Zürich/St. Gallen 2011, N. 557 f.).</w:t>
      </w:r>
    </w:p>
    <w:p>
      <w:r>
        <w:t>- 5 -</w:t>
      </w:r>
    </w:p>
    <w:p>
      <w:r>
        <w:t>Vielmehr behält die Staatsanwaltschaft die Verfahrensleitung für alle Ange- legenheiten, die in ihre eigene Zuständigkeit fallen (BGE 137 IV 215 E. 2.4; Entscheide des Bundesstrafgerichts BB.2012.33 vom 13. Juni 2012, E. 1.3; BB.2005.4 vom 27. April 2005, E. 6 es ist nicht Aufgabe der Beschwerde- kammer, der Bundesanwaltschaft die Verantwortung für die Führung der Untersuchung abzunehmen). Gegen eine erneute Nicht-Weiterleitung von Korrespondenz stünde dem Beschwerdeführer wiederum eine Beschwerde zur Verfügung.</w:t>
      </w:r>
    </w:p>
    <w:p>
      <w:r>
        <w:rPr>
          <w:b/>
        </w:rPr>
        <w:t>E. 1.4</w:t>
      </w:r>
    </w:p>
    <w:p>
      <w:r>
        <w:t>Es kann offenbleiben, ob Antrag 2 deshalb gegenstandslos ist, weil sich die besagten Schreiben nicht mehr in den Händen der BA oder des Beschwer- deführers befänden. Dies, da der Beschwerdeführer spätestens mit dem Antwortschreiben der BA vom 16. Mai 2013 (act. 1.2) wusste, dass er eine Verfügung verlangen muss und sich dann hiergegen beschweren kann. Vorliegend fehlt es nicht nur an einem solchen Anfechtungsobjekt; auch wurde die Beschwerde erst nach über einem Monat und somit verspätet erhoben.</w:t>
      </w:r>
    </w:p>
    <w:p>
      <w:r>
        <w:rPr>
          <w:b/>
        </w:rPr>
        <w:t>E. 1.5</w:t>
      </w:r>
    </w:p>
    <w:p>
      <w:r>
        <w:t>Aus diesen Gründen ist auf die Beschwerde nicht einzutreten.</w:t>
      </w:r>
    </w:p>
    <w:p>
      <w:r>
        <w:rPr>
          <w:b/>
        </w:rPr>
        <w:t>E. 2</w:t>
      </w:r>
    </w:p>
    <w:p>
      <w:r>
        <w:t>Bei diesem Ausgang des Verfahrens hat der Beschwerdeführer die Ge- richtskosten zu tragen (Art. 428 Abs. 1 StPO). Die Gerichtsgebühr ist auf Fr. 500.-- festzusetzen (Art. 73 StBOG i.V.m. Art. 5 und 8 Abs. 1 des Reg- lements des Bundesstrafgerichts vom 31. August 2010 über die Kosten, Gebühren und Entschädigungen in Bundesstrafverfahren [BStKR; SR 173.713.162]). Es besteht kein Anspruch auf eine Prozessentschädi- gung (Art. 429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