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BB.2013.83 vom 21. Juni 2013</w:t>
      </w:r>
    </w:p>
    <w:p>
      <w:r>
        <w:t>Bundesstrafgericht, 2013-06-21, FR</w:t>
      </w:r>
    </w:p>
    <w:p>
      <w:r>
        <w:rPr>
          <w:b/>
        </w:rPr>
        <w:t xml:space="preserve">Quelle: </w:t>
      </w:r>
      <w:r>
        <w:t>https://mcp.opencaselaw.ch/entscheid/bstger_BB.2013.83</w:t>
      </w:r>
    </w:p>
    <w:p>
      <w:r>
        <w:t>FR: TPF BB.2013.83 du 21 juin 2013</w:t>
      </w:r>
    </w:p>
    <w:p>
      <w:r>
        <w:t>IT: TPF BB.2013.83 del 21 giugno 2013</w:t>
      </w:r>
    </w:p>
    <w:p>
      <w:pPr>
        <w:pStyle w:val="Heading2"/>
      </w:pPr>
      <w:r>
        <w:t>Regeste</w:t>
      </w:r>
    </w:p>
    <w:p>
      <w:r>
        <w:t>Séquestre (art. 263 ss CPP). Retrait du recours (art. 386 CPP).</w:t>
      </w:r>
    </w:p>
    <w:p>
      <w:pPr>
        <w:pStyle w:val="Heading2"/>
      </w:pPr>
      <w:r>
        <w:t>Erwägungen</w:t>
      </w:r>
    </w:p>
    <w:p>
      <w:r>
        <w:rPr>
          <w:b/>
        </w:rPr>
        <w:t>E. 19</w:t>
      </w:r>
    </w:p>
    <w:p>
      <w:r>
        <w:t>mars 2010 sur l'organisation des autorités pénales de la Confédération [LOAP; RS 173.71] en lien avec l'art. 19 al. 1 du règlement sur l'organisation du Tribunal pénal fédéral [ROTPF; RS 173.713.161]);</w:t>
      </w:r>
    </w:p>
    <w:p>
      <w:r>
        <w:t>-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- 3 -</w:t>
      </w:r>
    </w:p>
    <w:p>
      <w:r>
        <w:t>-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 il y a ainsi lieu de prendre acte du retrait du recours;</w:t>
      </w:r>
    </w:p>
    <w:p>
      <w:r>
        <w:t>- de toute façon, le recours aurait été déclaré irrecevable;</w:t>
      </w:r>
    </w:p>
    <w:p>
      <w:r>
        <w:t>- en effet, une décision susceptible d'être attaquée devant l'autorité de céans fait défaut;</w:t>
      </w:r>
    </w:p>
    <w:p>
      <w:r>
        <w:t>- les conditions pour conclure à l'existence d'un déni de justice ne sont également pas réunies;</w:t>
      </w:r>
    </w:p>
    <w:p>
      <w:r>
        <w:t>- il y a déni de justice ou retard injustifié lorsque l’autorité s’abstient tacitement ou refuse expressément de rendre une décision dans un délai convenable (v. GUIDON, Die Beschwerde gemäss Schweizerischer Strafprozessordnung, thèse bernoise, Zurich / St-Gall 2011, n° 30 ss);</w:t>
      </w:r>
    </w:p>
    <w:p>
      <w:r>
        <w:t>- pour pouvoir se plaindre avec succès d'un retard injustifié, la partie doit être vainement intervenue auprès de l'autorité pour que celle-ci statue à bref délai (cf. ATF 126 V 244 consid. 2d; 125 V 373 consid. 2b/aa; arrêts du Tribunal fédéral 1B_24/2013 du 12 février 2013, consid. 4; 2C_979/2011 du 12 juin 2012, consid. 2.2.2 in: RDAF 2012 II p. 472);</w:t>
      </w:r>
    </w:p>
    <w:p>
      <w:r>
        <w:t>- il ne ressort pas du dossier que le recourant se soit adressé au MPC pour se plaindre du retard à statuer et l'inviter à rendre une décision concernant le séquestre de ses comptes;</w:t>
      </w:r>
    </w:p>
    <w:p>
      <w:r>
        <w:t>- le conseil du recourant n'a notamment pas fourni dans le délai imparti par la Cour de céans, conformément à l' art. 129 CPP, de procuration datée (act. 1.1 et 2);</w:t>
      </w:r>
    </w:p>
    <w:p>
      <w:r>
        <w:t>- les constatations qui précèdent conduisent à l'irrecevabilité manifeste du recours;</w:t>
      </w:r>
    </w:p>
    <w:p>
      <w:r>
        <w:t>-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- 4 -</w:t>
      </w:r>
    </w:p>
    <w:p>
      <w:r>
        <w:t>- le recours était d'emblée irrecevable et le retrait intervient en l'espèce à un stade initial de la procédure, n'occasionnant que des frais de chancellerie modérés, ce dont il sera tenu compte dans le calcul des frais de justice (art. 5 et 8 al. 1 du règlement du Tribunal pénal fédéral sur les frais, émoluments, dépens et indemnités de la procédure pénale fédérale [RFPPF; RS 173.713.162] et art. 73 al. 2 LOAP);</w:t>
      </w:r>
    </w:p>
    <w:p>
      <w:r>
        <w:t>- l'émolument est dès lors fixé à CHF 300.--;</w:t>
      </w:r>
    </w:p>
    <w:p>
      <w:r>
        <w:t>- il est de principe que les frais de procédure doivent être mis à la charge de la personne qui les a occasionnés (arrêt du Tribunal fédéral 6B_574/2012 du 28 mai 2013, consid. 2.3);</w:t>
      </w:r>
    </w:p>
    <w:p>
      <w:r>
        <w:t>- le Tribunal fédéral a jugé que ces frais peuvent être mis à titre personnel à la charge d'un avocat qui intente un recours dont l'irrecevabilité est évidente dans la mesure où l'on prête un minimum d'attention à cette question (cf. ATF 129 IV 206 consid. 2; arrêt du Tribunal fédéral 6P.136/2004 du 9 décembre 2004, consid. 5; CREVOISIER, Commentaire romand du CPP, Bâle 2011, n° 2 ad art. 417 CPP);</w:t>
      </w:r>
    </w:p>
    <w:p>
      <w:r>
        <w:t>- vu la négligence manifeste du conseil du recourant (DOMEISEN, Commentaire bâlois, Schweizerishe Strafprozessordnung, Bâle 2011, n° 13 ad art. 417), qui a déposé auprès de la Cour de céans un recours dont l'irrecevabilité était évidente et d'emblée reconnaissable, de surcroît sans produire une procuration datée nonobstant l'invitation explicite de cette autorité, il sied de mettre exceptionnellement les frais de la présente cause à la charge de Me B.</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