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BB.2013.59 vom 18. Oktober 2013</w:t>
      </w:r>
    </w:p>
    <w:p>
      <w:r>
        <w:t>Bundesstrafgericht, 2013-10-18, FR</w:t>
      </w:r>
    </w:p>
    <w:p>
      <w:r>
        <w:rPr>
          <w:b/>
        </w:rPr>
        <w:t xml:space="preserve">Quelle: </w:t>
      </w:r>
      <w:r>
        <w:t>https://mcp.opencaselaw.ch/entscheid/bstger_BB.2013.59</w:t>
      </w:r>
    </w:p>
    <w:p>
      <w:r>
        <w:t>FR: TPF BB.2013.59 du 18 octobre 2013</w:t>
      </w:r>
    </w:p>
    <w:p>
      <w:r>
        <w:t>IT: TPF BB.2013.59 del 18 ottobre 2013</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Bâle 2011, no 15 ad art. 393; KELLER, Kommentar zur Schweizerischen Strafprozessordnung [StPO], [Donatsch/Hansjakob/Lieber, éd.], Zurich/Bâle/Genève 2010, no 39 ad art. 393; SCHMID, Handbuch des schweizerischen Strafprozessrechts, Zu- 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- 5 -</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En leur qualité de titulaires des comptes séquestrés, les recourants disposent d'un intérêt juridiquement protégé à l'annulation de la mesure frappant lesdits comptes (arrêt du Tribunal pénal fédéral BB.2011.10/11 du 18 mai 2011, consid. 1.5 et références citées).</w:t>
      </w:r>
    </w:p>
    <w:p>
      <w:r>
        <w:rPr>
          <w:b/>
        </w:rPr>
        <w:t>E. 1.4</w:t>
      </w:r>
    </w:p>
    <w:p>
      <w:r>
        <w:t>En outre, déposé dans le délai de dix jours dès la notification du prononcé entrepris, le recours l'a été en temps utile.</w:t>
      </w:r>
    </w:p>
    <w:p>
      <w:r>
        <w:rPr>
          <w:b/>
        </w:rPr>
        <w:t>E. 1.5</w:t>
      </w:r>
    </w:p>
    <w:p>
      <w:r>
        <w:t>La Cour de céans a requis des compléments d'information s'agissant des procurations fournies par les sociétés recourantes et des pouvoirs de re- présentation des signataires de celles-ci. Au vu de l'issue du recours, la question de savoir si ces documents doivent être considérés suffisants peut demeurer ouverte.</w:t>
      </w:r>
    </w:p>
    <w:p>
      <w:r>
        <w:rPr>
          <w:b/>
        </w:rPr>
        <w:t>E. 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non publié in ATF 130 IV 154).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 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 dérée comme hautement vraisemblable (ATF 122 IV 91 consid. 4 p. 95; SCHIMD, Schweizerische Strafprozessordnung, Praxiskommentar, Zu- rich/Saint Gall 2009, n° 5 ad art. 263; LEMBO/JULEN BERTHOD, Commentaire romand, Code de procédure pénale , Bâle 2011, n° 26 ad art. 263 CPP). La mesure doit par ailleurs reposer sur une base légale, être justifiée par un intérêt public suffisant et respecter le principe de la proportionnalité (v. art. 197 CPP), étant précisé que l’autorité dispose à cet égard d’une grande</w:t>
      </w:r>
    </w:p>
    <w:p>
      <w:r>
        <w:t>- 6 -</w:t>
      </w:r>
    </w:p>
    <w:p>
      <w:r>
        <w:t>marge d’appréciation (arrêt du Tribunal fédéral 1P.239/2002 du 9 août 2002, consid. 3.1; arrêt du Tribunal pénal fédéral BB.2008.98 du 8 avril 2009, consid. 3). Tant que subsiste un doute sur la part des fonds qui pour- rait provenir d'une activité criminelle, l'intérêt public commande que ceux-ci demeurent à la disposition de la justice (MOREILLON/DUPUIS/MAZOU, La pra- tique judiciaire du Tribunal pénal fédéral, in JdT 2012 IV 5 n° 43). Le sé- questre peut aussi être ordonné en vue de l'exécution d'une créance com- pensatrice (art. 71 al. 3 1ère phrase CP).</w:t>
      </w:r>
    </w:p>
    <w:p>
      <w:r>
        <w:rPr>
          <w:b/>
        </w:rPr>
        <w:t>E. 2.1.1</w:t>
      </w:r>
    </w:p>
    <w:p>
      <w:r>
        <w:t>Les recourants se plaignent de ce que, dans son ordonnance du 17 sep- tembre 2012 (act. 1.3), le MPC aurait motivé le séquestre sur la base de l'art. 263 al. 1 let. a CPP, soit par la nécessité d'utiliser les objets séques- trés comme moyens de preuve. Dans sa décision de refus de levée de sé- questre du 15 avril 2013, ladite autorité aurait par contre justifié celui-ci en application de l'art. 70 CP, c'est-à-dire en vue de confiscation (act. 1, p. 7). Les recourants relèvent à cet égard qu'ils ne sont pas prévenus et que le MPC n'a pas, à ce jour, fait état de soupçons de blanchiment à leur en- contre (act. 1, p. 7). La dénonciation du MROS se fonderait uniquement sur un article de presse relatant l'existence de deux transactions suspectes in- tervenues sur le compte de la société B. Ltd auprès de la banque G.. Au- cune opération douteuse n'aurait été identifiée sur les autres relations ban- caires séquestrées auprès de l'établissement bancaire précité (act. 1, p. 9 et 12). Au surplus, aucun élément concret ne figurerait au dossier s'agis- sant du crime préalable au blanchiment d'argent (act. 1, p. 11). Au demeu- rant, L., dirigeant de F. Management Ltd, aurait affirmé dans un media rus- se que A. et ses sociétés ne seraient aucunement impliqués dans le com- plexe de faits sous enquête (act. 1, p. 12; act. 1.4).</w:t>
      </w:r>
    </w:p>
    <w:p>
      <w:r>
        <w:rPr>
          <w:b/>
        </w:rPr>
        <w:t>E. 2.1.2</w:t>
      </w:r>
    </w:p>
    <w:p>
      <w:r>
        <w:t>Dans la décision entreprise, le MPC expose qu'il ressort des éléments au dossier qu'une importante escroquerie aurait été commise en Russie en re- lation avec le vol de documents et les remboursements illégaux d'impôts lesquels auraient généré un produit illicite très substantiel de l'ordre de USD 230 millions. Les investigations conduites auraient permis d'identifier un certain nombre de comptes bancaires, tant en Suisse qu'à l'étranger – notamment à Chypre et en Moldavie –, qui auraient reçu le produit de ladite escroquerie. Il ressortirait de documents fournis par la partie plaignante qu'une partie des fonds détournés serait parvenue sur le compte n° 3 déte- nu par la société B. Ltd auprès de la banque G., relation bancaire avec deux ayants droit économiques distincts, à savoir H. et, dès 2008, A.. A cet égard, les soupçons du MPC portent sur deux crédits d'un montant de USD 410'000.-- et USD 447'354.-- opérés en provenance de comptes des</w:t>
      </w:r>
    </w:p>
    <w:p>
      <w:r>
        <w:t>- 7 -</w:t>
      </w:r>
    </w:p>
    <w:p>
      <w:r>
        <w:t>sociétés moldaves M. Srl et N. Srl les 6 et 13 février 2008. L'examen de la documentation bancaire tendrait à renforcer les soupçons que les fonds déposés en Suisse pourraient être d'origine criminelle. En outre, il ressorti- rait des analyses financières qu'il existerait des mouvements inter comptes au sein de la banque G. à Zurich entre les comptes de B. Ltd, ceux dont H. et A. sont titulaires ainsi que ceux dont A. est ayant droit économique. De l'avis du MPC, compte tenu des doutes existant quant à l'origine des avoirs présents sur ces comptes ainsi que de la nécessité de procéder à des me- sures d'enquête complémentaires – notamment des commissions rogatoi- res et des analyses financières –, la levée du séquestre apparaît comme étant prématurée.</w:t>
      </w:r>
    </w:p>
    <w:p>
      <w:r>
        <w:rPr>
          <w:b/>
        </w:rPr>
        <w:t>E. 2.1.3</w:t>
      </w:r>
    </w:p>
    <w:p>
      <w:r>
        <w:t>Préalablement, il convient de souligner qu'il ressort tant de l'ordonnance du 17 septembre 2012 que de la décision de refus de levée du séquestre du 15 avril 2013 que le blocage des avoirs n'a pas été ordonné dans un but probatoire, comme le soutiennent les recourants, mais à des fins conserva- toires, le MPC considérant qu'il ne peut être exclu que les valeurs patrimo- niales en question aient une origine criminelle (act. 1.3, p. 4; act. 1.1). C'est uniquement le séquestre de la documentation bancaire prononcé le 17 sep- tembre 2012, en l'espèce non contesté, qui a été motivé par la nécessité de recueillir des moyens de preuve au sens de l'art. 263 al. 1 let. a CPP (act. 1.3, p. 3). Il s'impose également de préciser que, comme il a été ex- posé ci-dessus (consid. 2), le fait que les détenteurs des comptes ne sont pas prévenus ni formellement soupçonnés d'actes de blanchiment n'est pas pertinent et ne constitue pas en tant que tel un motif susceptible de conduire à la levée de la mesure.</w:t>
      </w:r>
    </w:p>
    <w:p>
      <w:r>
        <w:rPr>
          <w:b/>
        </w:rPr>
        <w:t>E. 2.1.4</w:t>
      </w:r>
    </w:p>
    <w:p>
      <w:r>
        <w:t>Sur le fond, il convient de relever ce qui suit. Dans le cadre de la présente procédure, le MPC s'est limité à résumer brièvement les contours de l'état de fait et n'a pas fourni à la Cour de céans d'indications détaillées concer- nant le crime préalable et les soupçons de blanchiment d'argent qui fondent son enquête. Cependant, le rapport du CCEF du 26 février 2013 (act. 3.19), établi sur mandat du MPC, confirme en substance que deux sommes créditées sur le compte précité détenu auprès de la banque G. par B. Ltd proviendraient des fonds présumés détournés au détriment de l'ad- ministration fiscale de Moscou. Le CCEF a analysé en particulier un sché- ma des flux financiers liés à ces deux versements établi par la partie plai- gnante et montré que les deux transactions mises en exergue par ladite partie, fondant en substance la décision du MPC, ont effectivement eu lieu dans les modalités exposées par celle-ci. D'après le CCEF, les brèves an- notations accompagnant lesdits virements, suggérant que B. Ltd ferait du commerce, ne correspondent pas aux indications fournies par les ou l'un</w:t>
      </w:r>
    </w:p>
    <w:p>
      <w:r>
        <w:t>- 8 -</w:t>
      </w:r>
    </w:p>
    <w:p>
      <w:r>
        <w:t>des ayants droit du compte quant à l'activité de la société. En outre, le CCEF a relevé que lors de l'ouverture du compte de B. Ltd, le 16 décembre 2005, H. avait été indiqué comme étant l'ayant droit économique de celui- ci. Toutefois, un deuxième formulaire, non daté mais portant une indication ("Form A pursuant to Art. 3 and 4 CDB 2008") laissant présumer qu'il a été établi en 2008, indique que A. est l'ayant droit économique dudit compte et ce sans que H. ait été formellement radié. Sur la base des relevés bancai- res, il apparaît en outre que ce même compte a été en très grande partie alimenté, entre février 2008 et septembre 2012, par le débit de comptes sous maîtrise de H. et de A. auprès de la banque G. En particulier, les comptes des sociétés C. Ltd et D. Ltd ont versé en faveur de la relation de B. Ltd un total de USD 7'092'000.-- et EUR 4'000.-- entre 2008 et 2010. Au surplus, le rapport du CCEF, indique de manière plus générale qu'il existe des bonifications sur les autres comptes sous maîtrise de A. et H. à partir du compte de B. Ltd. Enfin, la documentation bancaire ne contient, selon le CCEF, aucune indication concernant l'origine de ces crédits et débits en provenance et au bénéfice de ces comptes.</w:t>
      </w:r>
    </w:p>
    <w:p>
      <w:r>
        <w:t>Ainsi, à ce stade de la procédure, il apparaît donc à la Cour de céans que la relation bancaire dont est titulaire B. Ltd est potentiellement récipiendaire d'une partie des fonds provenant de l'escroquerie présumée commise en Russie. En outre, il ressort de ce qui précède que les autres comptes concernés par le séquestre présentement entrepris, soit les comptes de A., C. Ltd, D. Ltd et E. Ltd, sont en relation avec ladite relation. Ce lien consis- te en l'identité des ayants droit économiques, en les versements d'envergu- re mis en évidence par le CCEF effectués à partir des comptes de C. Ltd et D. Ltd en faveur de la relation bancaire de B. Ltd ainsi que, plus en général, en les crédits opérés à partir de ce dernier compte au bénéfice d'autres comptes sous maîtrise de A. et H. Il y a par ailleurs lieu de souligner que les diverses opérations comptables intervenues sur et entre ces comptes pourraient constituer des actes de blanchiment dans la mesure où elles participent à entraver l'origine des fonds présumés illicites. Partant, au vu de ces liens ainsi que du fait que l'origine des avoirs impliqués et des tran- sactions identifiées est encore inconnue, il se justifie de maintenir le sé- questre jusqu'à ce que les actes d'instruction complémentaires envisagés par le MPC permettent d'éclaircir le contexte trouble dans lequel les comp- tes sous examen s'inscrivent, la provenance des fonds ainsi que les faits et leur portée juridique. Le MPC tâchera en particulier de fournir les éléments de preuve nécessaires en relation avec le crime préalable.</w:t>
      </w:r>
    </w:p>
    <w:p>
      <w:r>
        <w:rPr>
          <w:b/>
        </w:rPr>
        <w:t>E. 2.2</w:t>
      </w:r>
    </w:p>
    <w:p>
      <w:r>
        <w:t>De l'avis des recourants, le MPC aurait violé, par la mesure entreprise, le principe de la proportionnalité, en particulier dans son volet de la subsidiari-</w:t>
      </w:r>
    </w:p>
    <w:p>
      <w:r>
        <w:t>- 9 -</w:t>
      </w:r>
    </w:p>
    <w:p>
      <w:r>
        <w:t>té (act. 1, p. 8 s.). Compte tenu du fait que les transactions suspectes sont intervenues sur le compte de B. Ltd, le seul séquestre de la documentation bancaire de cette relation aurait été suffisant pour reconstruire le paper trail. Le séquestre de l'ensemble des comptes serait ainsi disproportionné. En application de l'art. 197 al. 2 CPP, le principe de la proportionnalité de- vrait être examiné de manière d'autant plus rigoureuse que la mesure de contrainte est dirigée à l'encontre de tiers n'ayant pas le statut de prévenus.</w:t>
      </w:r>
    </w:p>
    <w:p>
      <w:r>
        <w:t>Il ressort de ce qui a été exposé plus haut (consid. 2.1.4) que le blocage des comptes des recourants est justifié par les soupçons existant quant à l'origine criminelle de l'ensemble des avoirs y déposés. Sa fin n'étant pas probatoire, comme soutenu par les recourants, mais conservatoire, il en découle que le seul séquestre de la documentation bancaire relative au compte de B. Ltd n'aurait à l'évidence pas été suffisant pour aboutir au but poursuivi par le MPC. Au surplus, la durée et l'ampleur du séquestre ne prêtant pas flanc à la critique, il sied de conclure que la mesure est propor- tionnée de sorte que le grief des recourants apparaît comme étant inopé- rant.</w:t>
      </w:r>
    </w:p>
    <w:p>
      <w:r>
        <w:rPr>
          <w:b/>
        </w:rPr>
        <w:t>E. 2.3</w:t>
      </w:r>
    </w:p>
    <w:p>
      <w:r>
        <w:t>C'est ici le lieu de souligner que les lamentations des recourants quant à l'accès au dossier que le MPC leur aurait octroyé ne sont en l'occurrence pas pertinentes dans la mesure où cette question n'est pas l'objet de la dé- cision attaquée et dépasse ainsi le cadre du présent recours.</w:t>
      </w:r>
    </w:p>
    <w:p>
      <w:r>
        <w:rPr>
          <w:b/>
        </w:rPr>
        <w:t>E. 3</w:t>
      </w:r>
    </w:p>
    <w:p>
      <w:r>
        <w:t>Les considérants qui précèdent conduisent au rejet du recours.</w:t>
      </w:r>
    </w:p>
    <w:p>
      <w:r>
        <w:rPr>
          <w:b/>
        </w:rPr>
        <w:t>E. 4</w:t>
      </w:r>
    </w:p>
    <w:p>
      <w:r>
        <w:t>En tant que parties qui succombent, les recourants se voient mettre solidai- rement à leur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 ral du 31 août 2010 sur les frais, émoluments, dépens et indemnités de la procédure pénale fédérale (RFPPF; RS 173.713.162 [ci-après: le règle- ment sur les frais]), sera fixé à CHF 5'000.--.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