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BB.2013.40 vom 13. November 2013</w:t>
      </w:r>
    </w:p>
    <w:p>
      <w:r>
        <w:t>Bundesstrafgericht, 2013-11-13, FR</w:t>
      </w:r>
    </w:p>
    <w:p>
      <w:r>
        <w:rPr>
          <w:b/>
        </w:rPr>
        <w:t xml:space="preserve">Quelle: </w:t>
      </w:r>
      <w:r>
        <w:t>https://mcp.opencaselaw.ch/entscheid/bstger_BB.2013.40</w:t>
      </w:r>
    </w:p>
    <w:p>
      <w:r>
        <w:t>FR: TPF BB.2013.40 du 13 novembre 2013</w:t>
      </w:r>
    </w:p>
    <w:p>
      <w:r>
        <w:t>IT: TPF BB.2013.40 del 13 novembre 2013</w:t>
      </w:r>
    </w:p>
    <w:p>
      <w:pPr>
        <w:pStyle w:val="Heading2"/>
      </w:pPr>
      <w:r>
        <w:t>Regeste</w:t>
      </w:r>
    </w:p>
    <w:p>
      <w:r>
        <w:t>Mise sous scellés (art. 248 al.1 CPP).</w:t>
      </w:r>
    </w:p>
    <w:p>
      <w:pPr>
        <w:pStyle w:val="Heading2"/>
      </w:pPr>
      <w:r>
        <w:t>Erwägungen</w:t>
      </w:r>
    </w:p>
    <w:p>
      <w:r>
        <w:rPr>
          <w:b/>
        </w:rPr>
        <w:t>E. 1.1</w:t>
      </w:r>
    </w:p>
    <w:p>
      <w:r>
        <w:t>En tant qu’autorité de recours, la Cour des plaintes examine avec plein pouvoir de cognition en fait et en droit les recours qui lui sont soumis (v. MOREILLON/DUPUIS/MAZOU, La pratique judiciaire du Tribunal pénal fé- déral en 2011, in Journal des Tribunaux 2012, p. 2 ss, p. 52 no 199 et les références citées).</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- 7 -</w:t>
      </w:r>
    </w:p>
    <w:p>
      <w:r>
        <w:rPr>
          <w:b/>
        </w:rPr>
        <w:t>E. 1.3</w:t>
      </w:r>
    </w:p>
    <w:p>
      <w:r>
        <w:t>Dispose de la qualité pour recourir toute partie qui a un intérêt juridique- ment protégé à l'annulation ou à la modification d'une décision (art. 382 al. 1 CPP). Dans le cadre de la présente affaire, la recourante s'est vu re- connaître par le Tribunal fédéral la qualité de partie – au sens de l'art. 105 al. 2 CPP – à la procédure de levée des scellés diligentée en lien avec l'enquête fédérale référencée SV.12.02808 (v. supra let. E). En l'occurren- ce, la décision entreprise refuse à la recourante la mise sous scellés requi- se d'un ordinateur portable et d'une clé USB. Force est dès lors d'admettre qu'elle dispose d'un intérêt juridiquement protégé à l'annulation et à la mo- dification de dite décision, et ce dans la mesure où elle fait valoir que les objets en question pourraient être couverts par son immunité.</w:t>
      </w:r>
    </w:p>
    <w:p>
      <w:r>
        <w:rPr>
          <w:b/>
        </w:rPr>
        <w:t>E. 1.4</w:t>
      </w:r>
    </w:p>
    <w:p>
      <w:r>
        <w:t>Au surplus, interjeté le 28 mars 2013, le présent recours a été déposé dans le délai de dix jours dès la notification du prononcé attaqué (art. 90 al. 2 CPP).</w:t>
      </w:r>
    </w:p>
    <w:p>
      <w:r>
        <w:t>Le recours est partant recevable en la forme.</w:t>
      </w:r>
    </w:p>
    <w:p>
      <w:r>
        <w:rPr>
          <w:b/>
        </w:rPr>
        <w:t>E. 2</w:t>
      </w:r>
    </w:p>
    <w:p>
      <w:r>
        <w:t>Selon la recourante, la décision entreprise violerait le principe de la bonne foi (act. 1, p. 15 ss), et serait contraire à l'art. 248 CPP (act. 1, p. 22 s.). En outre, elle ne respecterait pas l'art. 27 al. 2 de la Convention de Vienne du 18 avril 1961 sur les relations diplomatiques (RS 0.191.01), de même que l'art. 3 de la loi fédérale du 22 juin 2007 sur les privilèges, les immunités et les facilités, ainsi que les aides financières accordées par la Suisse en tant qu'Etat hôte (LEH; RS 192.12) (act. 1, p. 19 ss).</w:t>
      </w:r>
    </w:p>
    <w:p>
      <w:r>
        <w:rPr>
          <w:b/>
        </w:rPr>
        <w:t>E. 3.1</w:t>
      </w:r>
    </w:p>
    <w:p>
      <w:r>
        <w:t>Aux termes de l'art. 248 al. 1 CPP, les documents, enregistrements et au- tres objets qui ne peuvent être ni perquisitionnés, ni séquestrés parce que l'intéressé fait valoir son droit de refuser de déposer ou de témoigner ou pour d'autres motifs sont mis sous scellés et ne peuvent être ni examinés, ni exploités par les autorités pénales.</w:t>
      </w:r>
    </w:p>
    <w:p>
      <w:r>
        <w:rPr>
          <w:b/>
        </w:rPr>
        <w:t>E. 3.2</w:t>
      </w:r>
    </w:p>
    <w:p>
      <w:r>
        <w:t>L'immunité est destinée à protéger la souveraineté d'un Etat lorsque ses biens, sa législation ou ses agents sont en rapport direct avec la souverai- neté d'un autre Etat et sont donc soumis à sa juridiction (Samantha BES- SON, Droit international public, Berne 2011, p. 80). Ses origines sont de na- ture coutumière (v. Xiadong YANG, State Immunity in International Law, Cambridge 2012, p. 33 ss). La doctrine distingue les immunités de l'Etat en tant que telles, les immunités diplomatiques et consulaires, ainsi que l'im-</w:t>
      </w:r>
    </w:p>
    <w:p>
      <w:r>
        <w:t>- 8 -</w:t>
      </w:r>
    </w:p>
    <w:p>
      <w:r>
        <w:t>munité des chefs d'Etat. Pour ce qui concerne les immunités selon la Convention de Vienne sur les relations diplomatiques, qui règle en particu- lier l'immunité des agents diplomatiques (art. 29 et 31) et l'inviolabilité de leur correspondance et de leurs biens (art. 30), le Tribunal fédéral a déjà eu occasion de souligner dans l'arrêt du 10 janvier 2013 cité plus haut (v. su- pra let. D), que même si ces immunités s'étendent aux agents diplomati- ques, l'Etat en est titulaire et bénéficie de droits à cet égard (arrêt précité, consid. 2.2). In casu, il ressort du dossier que la recourante a invoqué son immunité étatique devant le MPC dès le 15 août 2012 déjà à l'appui de sa demande de restitution des deux objets litigieux (v. supra let. B). Si le MPC a refusé de procéder à ladite restitution, il ne semble toutefois pas exclure que les supports litigieux puissent renfermer des informations couvertes par les immunités d'Etat (v. supra let. F in fine).</w:t>
      </w:r>
    </w:p>
    <w:p>
      <w:r>
        <w:rPr>
          <w:b/>
        </w:rPr>
        <w:t>E. 3.3</w:t>
      </w:r>
    </w:p>
    <w:p>
      <w:r>
        <w:t>Sur ce vu et à la lumière des considérants du Tribunal fédéral dans sa dé- cision du 10 janvier 2013 (v. supra let. D), le refus du MPC d'apposer les scellés sur les deux supports revendiqués, et ce notamment au motif que la recourante n'aurait identifié que tardivement les objets litigieux, n'est pas soutenable. Au moment de rendre son arrêt, la Haute Cour retenait en effet expressément que "[l]a possibilité d'intervenir dans la procédure de levée des scellés s'impose d'autant plus en l'espèce que la recourante n'est ap- paremment pas en mesure d'identifier les biens et les documents saisis en mains de tiers et placés sous scellés", ajoutant que "[l]e MPC et le Tmc ne lui ayant pas donné de renseignements sur ce point, seule une participation à la procédure de levée des scellés pourrait lui permettre de sauvegarder ses droits, en désignant les objets ou les documents sous scellés potentiel- lement couverts par l'immunité diplomatique". Dans la mesure où le Tribu- nal fédéral a considéré que l'accès à la procédure relative aux scellés re- présentait le seul moyen permettant à la recourante de sauvegarder ses droits, notamment en lui donnant l'occasion d'identifier parmi les biens et documents saisis en mains de tiers – dont D. –, ceux susceptibles d'être couverts par l'immunité d'Etat, l'on ne saurait reprocher à ladite recourante de n'avoir identifié que "tardivement" (v. act. 3, p. 3 ch. 14) les objets en question, et ce dès lors que l'accès à la procédure relative aux scellés ne lui a été garanti qu'à compter du 25 janvier 2013 (v. supra let. E).</w:t>
      </w:r>
    </w:p>
    <w:p>
      <w:r>
        <w:rPr>
          <w:b/>
        </w:rPr>
        <w:t>E. 3.4</w:t>
      </w:r>
    </w:p>
    <w:p>
      <w:r>
        <w:t>Des éléments qui précèdent, il ressort que le MPC aurait, à réception de l'arrêt du Tribunal fédéral susmentionné, dû placer spontanément les deux objets litigieux sous scellés avant de, le cas échéant, saisir le Tmc d'une requête de levée de scellés en bonne et due forme. Il appert en définitive que l'essentiel de l'argumentation développée par le MPC à l'appui de la décision ici entreprise ne porte pas sur la question de savoir si des scellés</w:t>
      </w:r>
    </w:p>
    <w:p>
      <w:r>
        <w:t>- 9 -</w:t>
      </w:r>
    </w:p>
    <w:p>
      <w:r>
        <w:t>doivent être apposés sur les deux objets litigieux, mais bien plutôt sur celle de savoir si les conditions légales pour prononcer leur levée sont réalisées. Or, comme indiqué, cette question ne relève pas de la compétence de l'au- torité de céans mais du Tmc (art. 248 al. 3 let. a CPP).</w:t>
      </w:r>
    </w:p>
    <w:p>
      <w:r>
        <w:rPr>
          <w:b/>
        </w:rPr>
        <w:t>E. 4</w:t>
      </w:r>
    </w:p>
    <w:p>
      <w:r>
        <w:t>Les considérations qui précèdent conduisent à l'admission du recours for- mé par la République d'Ouzbékistan.</w:t>
      </w:r>
    </w:p>
    <w:p>
      <w:r>
        <w:rPr>
          <w:b/>
        </w:rPr>
        <w:t>E. 5.1</w:t>
      </w:r>
    </w:p>
    <w:p>
      <w:r>
        <w:t>Compte tenu de l'issue du recours, les frais de la présente décision sont pris en charge par la caisse de l'Etat (art. 428 al. 4 et 423 al. 1 CPP; Mes- sage, p. 1310; GRIESSER, Kommentar StPO, n° 4 ad art. 428; SCHMID, Handbuch des schweizerischen Strafprozessrechts, 2ème éd., Zurich/Saint- Gall 2013, n° 1777).</w:t>
      </w:r>
    </w:p>
    <w:p>
      <w:r>
        <w:rPr>
          <w:b/>
        </w:rPr>
        <w:t>E. 5.2</w:t>
      </w:r>
    </w:p>
    <w:p>
      <w:r>
        <w:t>La partie qui obtient gain de cause a droit à une indemnité pour les dé- penses occasionnées par l’exercice raisonnable de ses droits de procédure (art. 436 al. 1 en lien avec l’art. 429 al. 1 let. a CPP). Selon l’art. 12 du rè- glement du Tribunal pénal fédéral sur les frais, émoluments, dépens et in- demnités de la procédure pénale fédéral du 31 août 2010 (RFPPF; RS 173.713.162), les honoraires sont fixés en fonction du temps effectivement consacré à la cause et nécessaire à la défense de la partie représentée. En l’espèce, une indemnité d’un montant de CHF 2'000.-- paraît équitable, étant rappelé ici que selon l'art. 8 al. 1 LTVA (RS 641.20), les prestations d'un avocat dont le client est domicilié à l'étranger ne sont pas soumises à la TVA.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