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BB.2013.4 vom 28. März 2013</w:t>
      </w:r>
    </w:p>
    <w:p>
      <w:r>
        <w:t>Bundesstrafgericht, 2013-03-28, DE</w:t>
      </w:r>
    </w:p>
    <w:p>
      <w:r>
        <w:rPr>
          <w:b/>
        </w:rPr>
        <w:t xml:space="preserve">Quelle: </w:t>
      </w:r>
      <w:r>
        <w:t>https://mcp.opencaselaw.ch/entscheid/bstger_BB.2013.4</w:t>
      </w:r>
    </w:p>
    <w:p>
      <w:r>
        <w:t>FR: TPF BB.2013.4 du 28 mars 2013</w:t>
      </w:r>
    </w:p>
    <w:p>
      <w:r>
        <w:t>IT: TPF BB.2013.4 del 28 marzo 2013</w:t>
      </w:r>
    </w:p>
    <w:p>
      <w:pPr>
        <w:pStyle w:val="Heading2"/>
      </w:pPr>
      <w:r>
        <w:t>Regeste</w:t>
      </w:r>
    </w:p>
    <w:p>
      <w:r>
        <w:t>Kostentragungspflicht der beschuldigten Person bei Einstellung des Verfahrens (Art. 426 Abs. 2 i.V.m. Art. 310 Abs. 2 StPO). Aufschiebende Wirkung (Art. 387 StPO).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Januar 2013 erklärt (act. 5 und 5.1), was der Bundesanwaltschaft mit Schreiben vom 27. März 2013 zur Kenntnis gebracht wird (act. 6);</w:t>
      </w:r>
    </w:p>
    <w:p>
      <w:r>
        <w:t>- wer ein Rechtsmittel ergriffen hat, dieses bei schriftlichen Verfahren bis zum Abschluss des Schriftenwechsels und allfälliger Beweis- oder Akten- ergänzungen zurückziehen kann (Art. 386 Abs. 2 lit. b StPO);</w:t>
      </w:r>
    </w:p>
    <w:p>
      <w:r>
        <w:t>- der Rückzug der Beschwerde vorliegend nach Abschluss des Schriften- wechsels und daher nicht mehr im Sinne des Gesetzes rechtzeitig erfolgte;</w:t>
      </w:r>
    </w:p>
    <w:p>
      <w:r>
        <w:t>- dessen ungeachtet kein Interesse mehr an der Weiterführung des Be- schwerdeverfahrens besteht;</w:t>
      </w:r>
    </w:p>
    <w:p>
      <w:r>
        <w:t>- die Beschwerde dementsprechend gegenstandslos geworden ist und somit als erledigt abzuschreiben ist;</w:t>
      </w:r>
    </w:p>
    <w:p>
      <w:r>
        <w:t>- bei diesem Ausgang des Verfahrens das Nebenverfahren betreffend auf- schiebende Wirkung ebenfalls zufolge Gegenstandslosigkeit als erledigt abzuschreiben ist;</w:t>
      </w:r>
    </w:p>
    <w:p>
      <w:r>
        <w:t>- 3 -</w:t>
      </w:r>
    </w:p>
    <w:p>
      <w:r>
        <w:t>- die Kosten eines gegenstandslos gewordenen Beschwerdeverfahrens der- jenigen Partei aufzuerlegen sind, welche die Gegenstandslosigkeit verur- sacht hat (TPF 2011 31);</w:t>
      </w:r>
    </w:p>
    <w:p>
      <w:r>
        <w:t>- die Gegenstandslosigkeit vom Beschwerdeführer durch seinen (verspäte- ten) Rückzug verursacht worden ist, weshalb er die Kosten für das vorlie- gende Verfahren zu tragen hat;</w:t>
      </w:r>
    </w:p>
    <w:p>
      <w:r>
        <w:t>- diese auf Fr. 500.-- festzusetzen sind (Art. 73 StBOG und Art. 5 und 8 Abs. 1 des Reglements des Bundesstrafgerichts vom 31. August 2010 über die Kosten, Gebühren und Entschädigungen in Bundesstrafverfahren [BStKR, SR 173.713.162]);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