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BB.2013.37 vom 28. März 2013</w:t>
      </w:r>
    </w:p>
    <w:p>
      <w:r>
        <w:t>Bundesstrafgericht, 2013-03-28, DE</w:t>
      </w:r>
    </w:p>
    <w:p>
      <w:r>
        <w:rPr>
          <w:b/>
        </w:rPr>
        <w:t xml:space="preserve">Quelle: </w:t>
      </w:r>
      <w:r>
        <w:t>https://mcp.opencaselaw.ch/entscheid/bstger_BB.2013.37</w:t>
      </w:r>
    </w:p>
    <w:p>
      <w:r>
        <w:t>FR: TPF BB.2013.37 du 28 mars 2013</w:t>
      </w:r>
    </w:p>
    <w:p>
      <w:r>
        <w:t>IT: TPF BB.2013.37 del 28 marzo 2013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2013 aufforderte, dem Gericht mitzuteilen, ob er an einer Behand- lung der Angelegenheit durch das Bundesstrafgericht festhalten wolle (act. 2);</w:t>
      </w:r>
    </w:p>
    <w:p>
      <w:r>
        <w:t>- der Beschwerdeführer mit Schreiben vom 26. März 2013 mitteilte, auf eine Behandlung der Angelegenheit durch das Bundesstrafgericht verzichten zu wollen (act. 3);</w:t>
      </w:r>
    </w:p>
    <w:p>
      <w:r>
        <w:t>- damit keinerlei Interesse seitens des Beschwerdeführers an der Behand- lung der durch das Bundesgericht überwiesenen (und ohnehin verspätet eingereichten) Beschwerde betreffend Entschädigung als amtlicher Vertei- diger durch das Bundesstrafgericht vorhanden ist, weshalb auf die Be- schwerde nicht einzutreten ist;</w:t>
      </w:r>
    </w:p>
    <w:p>
      <w:r>
        <w:t>- unter diesen Umständen auf die Erhebung von Gerichtskosten zu verzich- ten ist (DOMEISEN, Basler Kommentar, Basel 2011, Art. 428 N 5);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