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BB.2013.191 vom 3. April 2014</w:t>
      </w:r>
    </w:p>
    <w:p>
      <w:r>
        <w:t>Bundesstrafgericht, 2014-04-03, IT</w:t>
      </w:r>
    </w:p>
    <w:p>
      <w:r>
        <w:rPr>
          <w:b/>
        </w:rPr>
        <w:t xml:space="preserve">Quelle: </w:t>
      </w:r>
      <w:r>
        <w:t>https://mcp.opencaselaw.ch/entscheid/bstger_BB.2013.191</w:t>
      </w:r>
    </w:p>
    <w:p>
      <w:r>
        <w:t>FR: TPF BB.2013.191 du 3 avril 2014</w:t>
      </w:r>
    </w:p>
    <w:p>
      <w:r>
        <w:t>IT: TPF BB.2013.191 del 3 aprile 2014</w:t>
      </w:r>
    </w:p>
    <w:p>
      <w:pPr>
        <w:pStyle w:val="Heading2"/>
      </w:pPr>
      <w:r>
        <w:t>Regeste</w:t>
      </w:r>
    </w:p>
    <w:p>
      <w:r>
        <w:t>Riunione di procedimento (art. 30 CPP). Effetto sospensivo (art. 387 CPP).</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lo scritto impu- gnato, datato 11 dicembre 2013, è stato notificato al reclamante in data 17 di- cembre 2013 (v. act. 1.1). Il reclamo, interposto il 27 dicembre 2013, è pertan- to tempestivo.</w:t>
      </w:r>
    </w:p>
    <w:p>
      <w:r>
        <w:t>- 4 -</w:t>
      </w:r>
    </w:p>
    <w:p>
      <w:r>
        <w:rPr>
          <w:b/>
        </w:rPr>
        <w:t>E. 1.3</w:t>
      </w:r>
    </w:p>
    <w:p>
      <w:r>
        <w:t>Sono legittimate ad interporre reclamo contro una decisione le parti che hanno un interesse giuridicamente protetto all’annullamento o alla modifica della stessa (art. 382 cpv. 1 CPP). La legittimazione del reclamante – accusatore privato nel procedimento penale e direttamente toccato dalla decisione impu- gnata – è data (v. DTF 138 IV 214; sentenza del Tribunale penale federale BB.2011.91-93 del 19 dicembre 2011, consid. 1.3; critico sulla possibilità di impugnare una decisione basata sull'art. 29 CPP, BERNARD BERTOSSA, Com- mentario romando, Codice di procedura penale svizzero, n. 4 ad art. 29 CPP).</w:t>
      </w:r>
    </w:p>
    <w:p>
      <w:r>
        <w:rPr>
          <w:b/>
        </w:rPr>
        <w:t>E. 1.4</w:t>
      </w:r>
    </w:p>
    <w:p>
      <w:r>
        <w:t>Giusta l'art. 393 cpv. 2 CPP, mediante il reclamo si possono censurare le vio- lazioni del diritto, compreso l’eccesso e l’abuso del potere di apprezzamento e la denegata o ritardata giustizia (lett. a), l’accertamento inesatto o incompleto dei fatti (lett. b) e l’inadeguatezza (lett. c).</w:t>
      </w:r>
    </w:p>
    <w:p>
      <w:r>
        <w:rPr>
          <w:b/>
        </w:rPr>
        <w:t>E. 2</w:t>
      </w:r>
    </w:p>
    <w:p>
      <w:r>
        <w:t>ad art. 30 CPP). La congiunzione di procedure distinte è quindi possibile quando le circostanze di fatto lo giustificano, segnatamente per motivi di eco- nomia e di celerità procedurale (NIKLAUS SCHMID, Handbuch des schweizeri- schen Strafprozessrechts, Zurigo/San Gallo 2013, n. 437 pag. 158), ma anche per evitare sentenze contraddittorie (DTF 138 IV 29). Secondo il Messaggio, l'esistenza di uno stretto legame oggettivo tra diversi reati depone per esem- pio a favore di una riunione dei procedimenti (FF 2006 989, pag. 1048). Una buona amministrazione della giustizia impone che i differenti reati commessi da un imputato, benché sottostanti ognuno ad una giurisdizione differente, siano riuniti in una procedura unica e giudicati nella loro totalità da un unico tribunale (v. GÉRARD PIQUEREZ, Traité de procédure pénale suisse, 2a ediz., Ginevra/Zurigo/Basilea 2006, n. 438 pag. 277 e segg.; DTF 138 IV 214 con- sid. 3.2 e dottrina citata). In quest'ultima sentenza il Tribunale federale ha af- fermato che il principio dell'unità della procedura impone al pubblico ministero di riunire procedure riguardanti lo stesso imputato nonostante la natura molto diversa dei reati contestatigli; nel caso concreto si trattava di violenze dome- stiche e truffa (DTF 138 IV 214 consid. 3.6-3.7).</w:t>
      </w:r>
    </w:p>
    <w:p>
      <w:r>
        <w:rPr>
          <w:b/>
        </w:rPr>
        <w:t>E. 2.1</w:t>
      </w:r>
    </w:p>
    <w:p>
      <w:r>
        <w:t>L'art. 29 cpv. 1 CPP, che sancisce il principio dell'unità della procedura, pre- vede che più reati sono perseguiti e giudicati congiuntamente se sono stati commessi da uno stesso imputato (lett. a) oppure vi è correità o partecipazio- ne (lett. b). Eccezioni a tale principio sono previste all'art. 30 CPP, secondo il quale, per motivi sostanziali, il pubblico ministero e il giudice possono disgiun- gere o riunire i procedimenti. Il principio dell'unità della procedura è legato al concetto di opportunità, soprattutto per quanto concerne l'amministrazione omogenea delle prove e la difesa (v. sentenza del Tribunale penale federale BB.2009.51, 53, 54 del 5 agosto 2009, consid. 2 e giurisprudenza citata). Co-</w:t>
      </w:r>
    </w:p>
    <w:p>
      <w:r>
        <w:t>- 5 -</w:t>
      </w:r>
    </w:p>
    <w:p>
      <w:r>
        <w:t>me previsto dalla legge, una decisione di congiunzione deve fondarsi su ra- gioni oggettive e non su semplici motivi di comodità (B. BERTOSSA, op. cit., n.</w:t>
      </w:r>
    </w:p>
    <w:p>
      <w:r>
        <w:rPr>
          <w:b/>
        </w:rPr>
        <w:t>E. 2.2</w:t>
      </w:r>
    </w:p>
    <w:p>
      <w:r>
        <w:t>Nella fattispecie, B. è sospettato, nella sua veste di intermediario finanziario, dapprima presso F. SA e poi in seno a E. SA, di aver funto da riciclatore di denaro di origine illecita proveniente da più contesti criminali. Egli si sarebbe innanzitutto occupato di gestire valori patrimoniali riconducibili al clan mafioso D. derivanti da presunte speculazioni immobiliari legate alla realizzazione del centro commerciale "C." sorto in provincia di Napoli, progetto dal quale il clan, attraverso attività criminali, avrebbe tratto un guadagno di oltre EUR 10 milio- ni, denaro che sarebbe giunto appunto in Svizzera. Nell'ambito delle indagini riguardanti i fatti appena descritti, casualmente sarebbero emersi sospetti concernenti distrazioni a danno del governo italiano, più precisamente del Fondo Edifici di Culto (FEC), gestito dalla Direzione centrale per l'amministra- zione del FEC, organo del Dipartimento per le libertà civili e l'immigrazione del Ministero dell'Interno a Roma, con susseguente presunta attività di riciclaggio in Svizzera degli ingenti valori patrimoniali distratti (circa EUR 10 milioni). Infi- ne, vi è la fattispecie che concerne il qui reclamante, il quale ha dichiarato di essere stato vittima di ingenti malversazioni in relazione al suo conto bancario presso la Banca G. SA, a Y. Egli avrebbe in particolare rilevato alcune opera- zioni a debito del suo conto, gestito da E. SA, attraverso B., con successivo trasferimento su conti di terzi, fra cui una società dedita anche al trasporto transfrontaliero (Svizzera-Italia) di denaro contante, effettuate da B. ed altre persone attraverso ordini di bonifico recanti sue firme apocrife, quindi median- te documentazione falsa.</w:t>
      </w:r>
    </w:p>
    <w:p>
      <w:r>
        <w:t>- 6 -</w:t>
      </w:r>
    </w:p>
    <w:p>
      <w:r>
        <w:t>Orbene, sulla base degli atti istruttori già eseguiti, il MPC ritiene che le modali- tà espletate per commettere i presunti reati a monte, ossia le malversazioni con l'impiego di documentazione falsa, nonché le susseguenti attività di rici- claggio, siano nel loro complesso indicative di un modus operandi posto in es- sere da una banda composta da soggetti operanti su più fronti. La E. SA, in seno alla quale ha operato B., risulterebbe in particolare coinvolta in tutti i filo- ni dell'inchiesta, non escludendo peraltro l'autorità inquirente l'esistenza di ul- teriori persone vittime di malversazioni da parte di tale società. Questa Corte ritiene giustificato e logico procedere con un'unica inchiesta per quanto riguar- da le presunte attività illecite della società in parola e delle persone ivi attive, affinché possano essere evidenziati possibili elementi comuni nella maniera di agire degli indagati. La connessione tra le procedure congiunte dal MPC è e- vidente, tanto più che i reati contestati a B. e alla E. SA sono nei diversi filoni d'inchiesta sempre gli stessi, segnatamente il riciclaggio di denaro, valori pa- trimoniali che possono essere stati spostati utilizzando sempre gli stessi conti bancari gestiti da B. e la sua società, fra i quali il conto del reclamante presso la Banca G. SA. I motivi avanzati dal reclamante per eccepire alla regola pre- vista all'art. 29 cpv. 1 lett. a CPP non sono sufficienti per inficiare tali conside- razioni. Premesso che il MPC è sempre e comunque tenuto ad ossequiare ai dettami posti dagli art. 73 e segg. CPP, il principio dell'unità della procedura penale è in concreto manifestamente preponderante rispetto alle esigenze di protezione della sfera privata e della personalità del reclamante, il quale, oc- corre sottolinearlo, figura nel procedimento penale come accusatore privato e non come indagato. Egli è del resto tenuto ad accettare le normali conse- guenze legate alla partecipazione ad un procedimento penale, anche in quali- tà di accusatore privato, come ad esempio le audizioni da parte dell'autorità inquirente, confronti compresi, oppure la visione dell'incarto da parte degli altri partecipanti alla procedura, precisato che l'accesso agli atti deve essere circo- scritto, nel limite del possibile, a ciò che risulta pertinente e giustificato per la persona che lo richiede. Non giustificata in concreto risulta essere l'anonimiz- zazione di tutti i documenti dell'incarto menzionanti il reclamante o persone a lui vicine. In definitiva, le censure mosse dal reclamante vanno interamente respinte.</w:t>
      </w:r>
    </w:p>
    <w:p>
      <w:r>
        <w:rPr>
          <w:b/>
        </w:rPr>
        <w:t>E. 3</w:t>
      </w:r>
    </w:p>
    <w:p>
      <w:r>
        <w:t>Visto quanto precede, la domanda di concessione dell'effetto sospensivo è di- venuta priva d'oggetto.</w:t>
      </w:r>
    </w:p>
    <w:p>
      <w:r>
        <w:rPr>
          <w:b/>
        </w:rPr>
        <w:t>E. 4</w:t>
      </w:r>
    </w:p>
    <w:p>
      <w:r>
        <w:t>In conclusione, il reclamo è integralmente respinto. 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ripetibili e le indennità della</w:t>
      </w:r>
    </w:p>
    <w:p>
      <w:r>
        <w:t>- 7 -</w:t>
      </w:r>
    </w:p>
    <w:p>
      <w:r>
        <w:t>procedura penale federale (RSPPF; RS 173.713.162), ed è fissata nella fatti- specie a fr.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