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BB.2013.180 vom 5. Juni 2014</w:t>
      </w:r>
    </w:p>
    <w:p>
      <w:r>
        <w:t>Bundesstrafgericht, 2014-06-05, FR</w:t>
      </w:r>
    </w:p>
    <w:p>
      <w:r>
        <w:rPr>
          <w:b/>
        </w:rPr>
        <w:t xml:space="preserve">Quelle: </w:t>
      </w:r>
      <w:r>
        <w:t>https://mcp.opencaselaw.ch/entscheid/bstger_BB.2013.180</w:t>
      </w:r>
    </w:p>
    <w:p>
      <w:r>
        <w:t>FR: TPF BB.2013.180 du 5 juin 2014</w:t>
      </w:r>
    </w:p>
    <w:p>
      <w:r>
        <w:t>IT: TPF BB.2013.180 del 5 giugno 2014</w:t>
      </w:r>
    </w:p>
    <w:p>
      <w:pPr>
        <w:pStyle w:val="Heading2"/>
      </w:pPr>
      <w:r>
        <w:t>Regeste</w:t>
      </w:r>
    </w:p>
    <w:p>
      <w:r>
        <w:t>Séquestre (art. 263 ss CPP).</w:t>
      </w:r>
    </w:p>
    <w:p>
      <w:pPr>
        <w:pStyle w:val="Heading2"/>
      </w:pPr>
      <w:r>
        <w:t>Erwägungen</w:t>
      </w:r>
    </w:p>
    <w:p>
      <w:r>
        <w:rPr>
          <w:b/>
        </w:rPr>
        <w:t>E. 1.1</w:t>
      </w:r>
    </w:p>
    <w:p>
      <w:r>
        <w:t>En tant qu'autorité de recours, la Cour des plaintes examine avec plein pouvoir de cognition en fait et en droit les recours qui lui sont soumis (Mes- sage relatif à l'unification du droit de la procédure pénale du 21 décembre 2005, FF 2006 1057, 1296 in fine; STEPHENSON/THIRIET, Commentaire bâ- lois, Schweizerische Strafprozessordnung, n° 15 ad art. 393; KELLER, Kommentar zur Schweizerischen Strafprozessordnung [StPO], [Donats- ch/Hansjakob/Lieber, édit.], Genève/Zurich/Bâle 2010, n° 39 ad art. 393; SCHMID, Handbuch des schweizerischen Strafprozessrechts, 2e éd., Zu- rich/Saint-Gall 2013, n° 1512).</w:t>
      </w:r>
    </w:p>
    <w:p>
      <w:r>
        <w:rPr>
          <w:b/>
        </w:rPr>
        <w:t>E. 1.2</w:t>
      </w:r>
    </w:p>
    <w:p>
      <w:r>
        <w:t>Les décisions du MPC peuvent faire l'objet d'un recours devant la Cour de céans (art. 393 al. 1 let. a CPP et 37 al. 1 LOAP en lien avec l'art. 19 al. 1 du règlement sur l'organisation du Tribunal pénal fédéral [ROTPF; RS 173.713.161]). Le recours contre les décisions notifiées par écrit ou oralement est motivé et adressé par écrit, dans le délai de dix jours, à l'au- torité de recours (art. 396 al. 1 CPP). 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rPr>
          <w:b/>
        </w:rPr>
        <w:t>E. 1.3</w:t>
      </w:r>
    </w:p>
    <w:p>
      <w:r>
        <w:t>Le recours est recevable à la condition que le recourant dispose d'un inté- rêt juridiquement protégé à l'annulation ou à la modification de la décision entreprise (art. 382 al. 1 CPP). Le recourant doit avoir subi une lésion, soit un préjudice causé par l'acte qu'il attaque et doit avoir un intérêt à l'élimina- tion de ce préjudice. En sa qualité de titulaire du compte visé par le sé- questre querellé, la recourante dispose d'un intérêt juridiquement protégé à l'annulation de cette mesure de contrainte et au refus de levée de celui-ci (décision du Tribunal pénal fédéral BB.2011.10-11 du 18 mai 2011, consid. 1.5 et les références citées).</w:t>
      </w:r>
    </w:p>
    <w:p>
      <w:r>
        <w:t>- 5 -</w:t>
      </w:r>
    </w:p>
    <w:p>
      <w:r>
        <w:rPr>
          <w:b/>
        </w:rPr>
        <w:t>E. 1.4</w:t>
      </w:r>
    </w:p>
    <w:p>
      <w:r>
        <w:t>Déposé dans le délai de dix jours dès la notification du prononcé entrepris, le recours l'a été en temps utile.</w:t>
      </w:r>
    </w:p>
    <w:p>
      <w:r>
        <w:rPr>
          <w:b/>
        </w:rPr>
        <w:t>E. 2.1</w:t>
      </w:r>
    </w:p>
    <w:p>
      <w:r>
        <w:t>La recourante affirme que les fonds ayant servi à l'acquisition de l'or dépo- sé sur le compte sous séquestre ont une origine licite: ils proviendraient de la distribution de dividendes, obtenus par son ayant droit économique, de trois sociétés du groupe de ce dernier H. (société F., société I. et société J.). Ces sociétés auraient pour leur part été acquises par la société K. de manière tout à fait licite, sans lien aucun avec les détournements subis par la société D. en 1997. Au reste, le 11 novembre 2013, le MPC a levé sans autres les séquestres qui portaient sur les biens de la société K. La recou- rante a en outre fourni des jugements définitifs dont il ressort, selon elle, que les tribunaux en République tchèque ont considéré que C. n'était pas impliqué dans ledit détournement subi par la société D. et dès lors levé tou- tes les mesures de contrainte qui grevaient ses biens. Elle retient ainsi l'ab- sence d'un soupçon suffisant, lequel s'il avait existé ne se serait au surplus pas renforcé au cours des 16 mois d'enquête. La décision entreprise évo- que pour sa part que certains témoignages recueillis dans l'enquête tchè- que mettant en cause C. sont crédibles. Il est donc vraisemblable que tout ou partie des fonds détournés de la société D. aient pu être réintroduits sur des comptes bancaires en Suisse de C. pour y être soit conservés, soit uti- lisés en remploi notamment lors de l'acquisition de l'exploitation minière G., acquisition faisant l'objet elle aussi d'investigations.</w:t>
      </w:r>
    </w:p>
    <w:p>
      <w:r>
        <w:rPr>
          <w:b/>
        </w:rPr>
        <w:t>E. 2.2</w:t>
      </w:r>
    </w:p>
    <w:p>
      <w:r>
        <w:t>Le séquestre prévu par l'art. 263 CPP est une mesure provisoire (conserva- toire) qui permet la saisie de moyens de preuve, respectivement d'objets ou de valeurs qui pourraient faire l'objet d'une confiscation en application du droit pénal fédéral (arrêt du Tribunal fédéral 1S.2/2004 du 6 août 2004, consid. 2.2, non publié, in ATF 130 IV 154). S'agissant d'une mesure de contrainte au sens de l'art. 196 ss CPP, il faut que des indices suffisants laissent présumer une infraction (art. 197 al. 1 let. b CPP) et permettent de suspecter que les valeurs patrimoniales ont servi à commettre celle-ci ou en sont le produit, que les infractions aient été commises par leur détenteur ou par un tiers (arrêt du Tribunal pénal fédéral BB.2005.42 du 14 septem- bre 2005, consid. 2.1; HEIMGARTNER, Strafprozessuale Beschlagnahme, Zurich/Bâle/Genève 2011, p. 125 ss). Pour que le maintien du séquestre pendant une période prolongée se justifie, il importe que ces présomptions se renforcent en cours d'enquête et que l'existence d'un lien de causalité adéquat entre les valeurs saisies et les actes délictueux puisse être consi- dérée comme hautement vraisemblable (ATF 122 IV 91 consid. 4 p. 95;</w:t>
      </w:r>
    </w:p>
    <w:p>
      <w:r>
        <w:t>- 6 -</w:t>
      </w:r>
    </w:p>
    <w:p>
      <w:r>
        <w:t>SCHMID, Schweizerische Strafprozessordnung, Praxiskommentar, 2e éd., Zurich/Saint Gall 2013, n° 5 ad art. 263; LEMBO/JULEN BERTHOD, Commen- taire romand, Code de procédure pénale, Bâle 2011, n° 26 ad art. 263 CPP). La mesure doit par ailleurs reposer sur une base légale, être justifiée par un intérêt public suffisant et respecter le principe de la proportionnalité (v. art. 197 CPP), étant précisé que l'autorité dispose à cet égard d'une grande marge d'appréciation (arrêt du Tribunal fédéral 1P.239/2002 du 9 août 2002, consid. 3.1; arrêt du Tribunal pénal fédéral BB.2008.98 du 8 avril 2009, consid. 3). Tant que subsiste un doute sur la part des fonds qui pourrait provenir d'une activité criminelle, l'intérêt public commande que ceux-ci demeurent à la disposition de la justice (MOREILLON/DUPUIS/MAZOU, La pratique judiciaire du Tribunal pénal fédéral, in JdT 2012 IV 5 n° 43). Le séquestre peut aussi être ordonné en vue de l'exécution d'une créance compensatrice (art. 71 al. 3, 1re phrase CP). L'enquête est ouverte en l'espèce à l'encontre de l'ayant droit économique de la recourante pour blanchiment d'argent (art. 305bis CP). Se fondant sur des informations reçues dans le cadre d'une entraide pénale avec la Répu- blique tchèque, le MPC considère en effet que C., qui, avec l'aide de plu- sieurs personnes, dont L., aurait, dans un premier temps, en tant que direc- teur de fait des sociétés M. et D., organisé l'achat par la société M. de sep- tembre 1996 à février 1997 de tous les titres de la société D. à un prix de CZK 1'236'284'000.--. Avec les liquidités réunies au sein de la société D., il aurait poussé ce dernier à acheter des actions de la société N. au prix gon- flé de CZK 1'236'284'000.--, la valeur desdites actions étant de CZK 102'002'760.-- seulement. Le montant résultant de la vente aurait été transféré le 18 mars 1997 à l'étranger au moyen d'une structure de socié- tés mise en place dans ce but. C. aurait dès lors provoqué un préjudice pa- trimonial à la société D. de CZK 1'236'284'000.--, et aurait bénéficié d'une partie du produit du détournement à hauteur de CZK 20 millions au moins (act. 1.14). Il a pu être établi qu'une partie de l'argent issu de la société D. a été réceptionnée sur deux comptes en Suisse (act. 1.14). Un montant de DM 300'000.-- a ainsi été transféré sur le compte d'une société O. SA au- près de la banque B. à Zurich, dont l'ayant droit économique s'avère être L. Ce dernier avait également loué un coffre-fort auprès de cette banque le 28 août 1997 et donné procuration sur ce coffre à C. Or, dans l'enquête en République tchèque, L. aurait déclaré avoir remis à C. de l'argent prove- nant du détournement au préjudice de la société D. et tiré dudit coffre. Certes, la recourante a produit deux décisions de la Cour supérieure de Prague qui déclare ce témoignage inutilisable, point de vue confirmé en mars de cette année par la Cour suprême tchèque (supra let. B). Il reste que les pièces au dossier attestent du fait qu'une partie des fonds détour- nés de la société D. en 1997 se sont retrouvés sur un compte en Suisse,</w:t>
      </w:r>
    </w:p>
    <w:p>
      <w:r>
        <w:t>- 7 -</w:t>
      </w:r>
    </w:p>
    <w:p>
      <w:r>
        <w:t>celui de O. SA, dont L. était ayant droit économique. Or, ce dernier avait à la même époque également loué un coffre-fort sur lequel C. détenait une procuration (classeur MPC intitulé [Me Rust], onglet "safe"). Cet élément invalide l'affirmation de la recourante selon laquelle son ayant droit écono- mique n'avait aucun lien avec L. ainsi que les relations bancaires du préci- té. Par ailleurs, il faut admettre avec le MPC que les décisions tchèques in- voquées par la recourante sont des décisions incidentes qui ne libèrent pas encore C. de toute responsabilité matérielle dans l'affaire de la société D. C'est au juge du fond qu'il appartiendra de trancher cette question. De sur- croît, si les autorités judiciaires tchèques ont considéré que le témoignage de L. impliquant C. dans la captation de l'argent de la société D. était inuti- lisable pour justifier du gel de ses avoirs en République tchèque, elles n'ont en revanche pas remis en cause sa validité pour la réouverture de l'en- quête contre C. et que celui-ci a querellée en vain (classeur MPC intitulé [Me Rust], onglet "CRI République tchèque", document 18-01-0131). Ainsi, le témoignage de L. ne peut être considéré comme dépourvu de toute por- tée. Or, dans sa déclaration, ce dernier a confirmé qu'il existait un accord au terme duquel C. devait recevoir DM 20'000'000.-- en lien avec le dé- tournement de la société D. et qu'il lui aurait remis une partie de l'argent tiré de leur coffre-fort commun. Enfin, la Cour supérieure tchèque, dans sa dé- cision du 27 novembre 2013, a relevé que si les preuves en l'état ne suffi- saient pas pour les séquestres, on ne pouvait pour autant exclure l'exis- tence de soupçons par rapport à ce qui s'était passé (act. 12.1 p. 7). Au vu de ces éléments, on ne saurait écarter définitivement l'existence d'un crime préalable.</w:t>
      </w:r>
    </w:p>
    <w:p>
      <w:r>
        <w:t>Il ressort par ailleurs du rapport du CCEF du 5 décembre 2012 que l'argent utilisé par la recourante dès novembre 2009 pour acquérir l'or aujourd'hui sous séquestre semble effectivement provenir de sociétés tchèques du groupe H., dont C. est ayant droit économique. Il s'avère cependant que l'acquisition de la société F., précédemment société G., a fait l'objet d'in- vestigations en Suisse. Dans ce contexte, le 10 octobre 2013, la Cour des affaires pénales du Tribunal pénal fédéral a ainsi condamné pour escro- querie et blanchiment d'argent aggravé les acteurs principaux de cette af- faire en raison du mode d'acquisition de la société G. en 1997 ainsi que de la revente ultérieure des actions du groupe minier tchèque (arrêt SK.2011.24). Or, les fonds ayant servi à l'acquisition des lingots sous sé- questre proviendraient de dividendes versés entre juin et octobre 2009 à la société K. (dont C. est ayant droit économique), laquelle avait racheté des actions de la société G. en 2006. Ils auraient ensuite été transférés sur les comptes de P. Limited puis de Q. Ltd pour finalement être versés sur le compte de la recourante au titre d'un prêt passé en sa faveur (act. 1.15).</w:t>
      </w:r>
    </w:p>
    <w:p>
      <w:r>
        <w:t>- 8 -</w:t>
      </w:r>
    </w:p>
    <w:p>
      <w:r>
        <w:t>Les fonds versés d'une société à une autre seraient justifiés selon la recou- rante par des accords de prêts, respectivement de remboursements. Aucun élément au dossier ne permet d'étayer ces allégations. Le rapport CCEF précité relevait en outre que rien ne permettait de déterminer si les fonds provenaient effectivement de dividendes ou d'une autre source (act. 1.15 p. 3). Par ailleurs, il semble que l'ayant droit économique de la recourante ait procédé à de multiples transactions, parfois inter-sociétés, le même jour et sans justification économique apparente (classeur MPC intitulé [Me S.], "account transaction list", documents 16-02-0007 à 16-02-0025). Dans ce contexte, le fait que le transfert de l'or figurant sur le compte de la recou- rante a été envisagé en juillet 2012 alors qu'en République tchèque une demande du Parquet avait été formulée en vue de rouvrir l'enquête en lien avec la société D. n'apparaît pas anodin. Par ailleurs, cette mesure aurait pu rendre plus difficile l'identification du lieu où se trouvaient ces valeurs. De plus, il semble à ce titre que la banque B. ait été certes informée du fait que l'or allait être déplacé, sans qu'il lui soit cependant précisé auprès de quel établissement bancaire (act. 1.7 p. 7).</w:t>
      </w:r>
    </w:p>
    <w:p>
      <w:r>
        <w:rPr>
          <w:b/>
        </w:rPr>
        <w:t>E. 2.3</w:t>
      </w:r>
    </w:p>
    <w:p>
      <w:r>
        <w:t>Les éléments qui précèdent tendent à confirmer que l'or aujourd'hui sous séquestre pourrait avoir été acquis en partie grâce au montant détourné de la société D.</w:t>
      </w:r>
    </w:p>
    <w:p>
      <w:r>
        <w:rPr>
          <w:b/>
        </w:rPr>
        <w:t>E. 3</w:t>
      </w:r>
    </w:p>
    <w:p>
      <w:r>
        <w:t>La recourante fait également valoir la disproportion du montant séquestré et invoque le fait que le MPC n'a procédé à aucune pesée d'intérêt. Elle conteste également que pour calculer le montant à garder sous séquestre, le MPC a pris en compte un intérêt cumulé à 3%.</w:t>
      </w:r>
    </w:p>
    <w:p>
      <w:r>
        <w:rPr>
          <w:b/>
        </w:rPr>
        <w:t>E. 3.1</w:t>
      </w:r>
    </w:p>
    <w:p>
      <w:r>
        <w:t>La méthode de calcul et le taux de 3% pris en considération par le MPC pour déterminer le montant qui devait rester sous séquestre ne prêtent pas à discussion. Ce dernier a en effet procédé à la conversion au 11 mars 1997 de DM 20'000'000.--, montant dont C. est soupçonné avoir bénéficié suite au détournement intervenu au détriment de la société D. Le taux d'in- térêt pris en considération est conforme à ce que prévoit la jurisprudence sur cette question (arrêt du Tribunal pénal fédéral RR.2007.77 du 29 octo- bre 2007, consid. 7.3). Ce faisant, le MPC est arrivé à un montant de CHF 27'700'000.-- (classeur MPC intitulé [Me Rust], onglet "CCEF", docu- ment 11-00-0009). Le séquestre querellé porte sur ce seul montant, tout ce qui excédait cette somme ayant été libéré (act. 1.1), ce qui est conforme au principe de la proportionnalité. Sous cet angle, on relèvera encore que l'en- quête a certes duré près de 20 mois, mais qu'elle est complexe et interna- tionale. Du reste, les résultats de diverses commissions rogatoires sont en-</w:t>
      </w:r>
    </w:p>
    <w:p>
      <w:r>
        <w:t>- 9 -</w:t>
      </w:r>
    </w:p>
    <w:p>
      <w:r>
        <w:t>core attendus. Enfin, dès lors que le doute subsiste quant à l'origine licite des fonds, l'intérêt public commande que ceux-ci restent sous main de jus- tice. Il n'en demeure pas moins que le MPC est invité à entendre C. dans les meilleurs délais</w:t>
      </w:r>
    </w:p>
    <w:p>
      <w:r>
        <w:rPr>
          <w:b/>
        </w:rPr>
        <w:t>E. 3.2</w:t>
      </w:r>
    </w:p>
    <w:p>
      <w:r>
        <w:t>Le grief d'une violation du principe de la proportionnalité tombe ainsi à faux.</w:t>
      </w:r>
    </w:p>
    <w:p>
      <w:r>
        <w:rPr>
          <w:b/>
        </w:rPr>
        <w:t>E. 4</w:t>
      </w:r>
    </w:p>
    <w:p>
      <w:r>
        <w:t>Vu ce qui précède, le recours, mal fondé doit être rejeté.</w:t>
      </w:r>
    </w:p>
    <w:p>
      <w:r>
        <w:rPr>
          <w:b/>
        </w:rPr>
        <w:t>E. 5</w:t>
      </w:r>
    </w:p>
    <w:p>
      <w:r>
        <w:t>Selon l'art. 428 al. 1 CPP, les frais de la procédure de recours sont mis à la charge des parties dans la mesure où elles ont obtenu gain de cause ou succombé. La recourante qui succombe supportera ainsi les frais de la présente décision, qui se limitent à un émolument fixé en application de l'art. 8 du règlement du Tribunal pénal fédéral du 31 août 2010 sur les frais, émoluments, dépens et indemnités de la procédure pénale fédérale (RFPPF; RS 173.713.162) à CHF 2'000.--.</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