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BB.2013.178 vom 26. März 2014</w:t>
      </w:r>
    </w:p>
    <w:p>
      <w:r>
        <w:t>Bundesstrafgericht, 2014-03-26, FR</w:t>
      </w:r>
    </w:p>
    <w:p>
      <w:r>
        <w:rPr>
          <w:b/>
        </w:rPr>
        <w:t xml:space="preserve">Quelle: </w:t>
      </w:r>
      <w:r>
        <w:t>https://mcp.opencaselaw.ch/entscheid/bstger_BB.2013.178</w:t>
      </w:r>
    </w:p>
    <w:p>
      <w:r>
        <w:t>FR: TPF BB.2013.178 du 26 mars 2014</w:t>
      </w:r>
    </w:p>
    <w:p>
      <w:r>
        <w:t>IT: TPF BB.2013.178 del 26 marzo 2014</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 bre 2005 [ci-après: le Message], FF 2006 1057, 1296 in fine; STEPHEN- SON/THIRIET, in Basler Kommentar, Schweizerische Strafprozessordnung, 2011, n° 15 ad art. 393; KELLER, in Kommentar zur Schweizerischen Straf- prozessordnung [StPO], [Donatsch/Hansjakob/Lieber, éd.], 2010, n° 39 ad art. 393; SCHMID, Handbuch des schweizerischen Strafprozessrechts, 2e éd., 2013, n°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Dispose de la qualité pour recourir toute partie qui a un intérêt juridiquement protégé à l'annulation ou à la modifica- tion d'une décision (art. 382 al. 1 CPP; arrêt du Tribunal fédéral 1B_657/2012 du 8 mars 2013, consid. 2.3.1). Le recourant doit avoir subi une lésion, soit un préjudice causé par l'acte qu'il attaque et doit avoir un intérêt à l'élimination de ce préjudice. Cet intérêt doit être actuel (décision du Tribunal pénal fédéral BB.2013.88 du 13 septembre 2013, consid. 1.4 et références citées).</w:t>
      </w:r>
    </w:p>
    <w:p>
      <w:r>
        <w:rPr>
          <w:b/>
        </w:rPr>
        <w:t>E. 1.3.1</w:t>
      </w:r>
    </w:p>
    <w:p>
      <w:r>
        <w:t>Les ordonnances de non-entrée en matière et de classement peuvent faire l'objet d'un recours en vertu de l'art. 393 al. 1 let. a CPP de la part de "toute partie qui a un intérêt juridiquement protégé à [leur] annulation ou à [leur] modification" (art. 382 al. 1 CPP; arrêt du Tribunal fédéral 1B_657/2012 du 8 mars 2013, consid. 2.3.1). La notion de partie visée à cette disposition doit être comprise au sens des art. 104 et 105 CPP. L'art. 104 al. 1 let. b CPP reconnaît notamment cette qualité à la partie plaignante soit, selon l'art. 118 al. 1 CPP, au "lésé qui déclare expressément vouloir participer à</w:t>
      </w:r>
    </w:p>
    <w:p>
      <w:r>
        <w:t>- 6 -</w:t>
      </w:r>
    </w:p>
    <w:p>
      <w:r>
        <w:t>la procédure pénale comme demandeur au pénal ou au civil". Conformé- ment à l'art. 115 al. 1 CPP, est considéré comme lésée, "toute personne dont les droits ont été touchés directement par une infraction". L'art. 105 CPP reconnaît également la qualité de partie aux autres participants à la procédure, tels que le lésé (al. 1 let. a) ou la personne qui dénonce les in- fractions (al. 1 let. b), lorsqu'ils sont directement touchés dans leurs droits et dans la mesure nécessaire à la sauvegarde de leurs intérêts (al. 2).</w:t>
      </w:r>
    </w:p>
    <w:p>
      <w:r>
        <w:t>La qualité pour recourir de la partie plaignante, du lésé ou du dénonciateur contre une ordonnance de classement ou de non-entrée en matière est ainsi subordonnée à la condition qu'ils soient directement touchés par l'in- fraction et puissent faire valoir un intérêt juridiquement protégé à l'annula- tion de la décision. En règle générale, seul peut se prévaloir d'une atteinte directe le titulaire du bien juridique protégé par la disposition pénale qui a été enfreinte (ATF 129 IV 95 consid. 3.1 et les arrêts cités). Les droits tou- chés sont les biens juridiques individuels tels que la vie et l'intégrité corpo- relle, la propriété, l'honneur, etc. (Message CPP, FF 2006 p. 1148). En re- vanche, lorsque l'infraction protège en première ligne l'intérêt collectif, les particuliers ne sont considérés comme lésés que si leurs intérêts privés ont été effectivement touchés par les actes en cause, de sorte que leur dom- mage apparaît comme la conséquence directe de l'acte dénoncé (arrêts du Tribunal fédéral 1B_723/2012 du 15 mars 2013, consid. 4.1; 1B_489/2011 du 24 janvier 2012, consid. 1.2; ATF 129 IV 95 consid. 3.1 et les arrêts ci- tés).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 nelle et subjective de ce dernier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 lon l'art. 30 al. 1 CP, en d'autres termes les titulaires des biens juridiques auxquels on a porté atteinte, doivent toujours être considérés comme des lésés (FF 2006 p. 1148).</w:t>
      </w:r>
    </w:p>
    <w:p>
      <w:r>
        <w:rPr>
          <w:b/>
        </w:rPr>
        <w:t>E. 1.3.2</w:t>
      </w:r>
    </w:p>
    <w:p>
      <w:r>
        <w:t>En l'occurrence, le recourant a déposé plainte en se prévalant de la viola- tion des dispositions suivantes: violation du secret de fonction (art. 320 CP), dénonciation calomnieuse (art. 303 CP), calomnie (art. 174 ch. 1 CP) et abus d'autorité (art. 312 CP).</w:t>
      </w:r>
    </w:p>
    <w:p>
      <w:r>
        <w:t>- 7 -</w:t>
      </w:r>
    </w:p>
    <w:p>
      <w:r>
        <w:t>S'agissant du secret de fonction, le but de la protection est double et vise tant la collectivité publique, pour que les tâches de l'Etat puissent être ac- complies sans entrave, que les particuliers, lesquels ne doivent pas subir des indiscrétions préjudiciables à leurs intérêts légitimes (CORBOZ, Les in- fractions en droit suisse, vol. II, 3e éd., 2010, n° 3 ad art. 320 CP). Le Tri- bunal fédéral a admis la qualité de lésé au particulier atteint dans sa sphère privée par ladite violation (ATF 120 Ia 220 consid. 3b, cité notamment dans DUPUIS et al., Petit Commentaire, Code pénal, 2012, n° 3 ad art. 320 CP). En ce qui a trait à la dénonciation calomnieuse, la jurisprudence a admis que le bien juridiquement protégé est également double et est, d'un côté, l'honneur des particuliers et, de l'autre, une saine administration de la justi- ce (DUPUIS et al., op. cit., n° 1 ad art. 303 CP et jurisprudence citée). La ca- lomnie protège quant à elle l'honneur (CORBOZ, op. cit., n° 1 ad art. 173 CP principes applicables également à l'art. 174 CP, v. ibidem, n° 3 ad art. 174 CP). Enfin, la disposition relative à l'abus d'autorité protège, d'une part, l'in- térêt de l'Etat à disposer de fonctionnaires loyaux qui utilisent les pouvoirs qui leur ont été confiés en ayant conscience de leur devoir et, d'autre part, l'intérêt des citoyens à ne pas être exposés à un déploiement de puissance étatique incontrôlé et arbitraire (ATF 127 IV 209 consid. 1b et référence ci- tée).</w:t>
      </w:r>
    </w:p>
    <w:p>
      <w:r>
        <w:rPr>
          <w:b/>
        </w:rPr>
        <w:t>E. 1.3.3</w:t>
      </w:r>
    </w:p>
    <w:p>
      <w:r>
        <w:t>Ainsi, se prévalant de dispositions qui protègent ses intérêts privés, le re- courant est directement lésé et dispose par conséquent de la qualité pour recourir.</w:t>
      </w:r>
    </w:p>
    <w:p>
      <w:r>
        <w:rPr>
          <w:b/>
        </w:rPr>
        <w:t>E. 1.4</w:t>
      </w:r>
    </w:p>
    <w:p>
      <w:r>
        <w:t>Déposé au surplus dans le délai légal, le recours est recevable. Il convient dès lors d'entrer en matière sur celui-ci.</w:t>
      </w:r>
    </w:p>
    <w:p>
      <w:r>
        <w:rPr>
          <w:b/>
        </w:rPr>
        <w:t>E. 2</w:t>
      </w:r>
    </w:p>
    <w:p>
      <w:r>
        <w:t>Dans un grief d'ordre formel qu'il sied d'examiner d'entrée de cause, le re- courant se plaint de la violation de son droit d'être entendu. Il reproche au MPC de ne pas lui avoir transmis, avant la prise de décision, copie des dé- terminations de la Procureure en le privant ainsi de la possibilité de s'ex- primer à leur égard (act. 1, p. 11). La violation du droit d'être entendu serait si grave que l'ordonnance de non-entrée en matière devrait être annulée (act. 6, p. 2).</w:t>
      </w:r>
    </w:p>
    <w:p>
      <w:r>
        <w:t>Le recourant méconnaît que, avant de rendre une ordonnance de non- entrée en matière, le Ministère public n'a pas à en informer les parties et il n'a pas à leur donner la possibilité d'exercer leur droit d'être entendues, le- quel sera assuré, le cas échéant, dans le cadre de la procédure de recours (arrêt du Tribunal fédéral 6B_4/2013 du 11 avril 2013, consid. 2.1). Le MPC</w:t>
      </w:r>
    </w:p>
    <w:p>
      <w:r>
        <w:t>- 8 -</w:t>
      </w:r>
    </w:p>
    <w:p>
      <w:r>
        <w:t>n'était ainsi pas tenu d'interpeller le recourant de sorte qu'aucune violation de son droit d'être entendu n'a été consacrée. Le grief tombe ainsi à faux.</w:t>
      </w:r>
    </w:p>
    <w:p>
      <w:r>
        <w:rPr>
          <w:b/>
        </w:rPr>
        <w:t>E. 3</w:t>
      </w:r>
    </w:p>
    <w:p>
      <w:r>
        <w:t>Le recourant fait également valoir que le prononcé entrepris aurait été ren- du par une autorité partiale, ce en violation des art. 6 par. 1 CEDH, 14 par. 1 du Pacte II ONU, 29a et 30 Cst. ainsi que 4 CPP (act. 1, p. 9 s.). Il y au- rait à son sens une apparence de prévention insurmontable dans le fait qu'un Procureur fédéral décide d'une plainte formulée à l'encontre d'un au- tre Procureur fédéral. En outre, l'auteur de la décision entreprise serait in- tervenu dans le cadre de la procédure pénale à l'encontre de B. en tant que médiateur entre ce dernier et l'antenne de U. du MPC (act. 1, p. 10 s., act. 6, p. 2). Cet élément serait en substance une preuve supplémentaire de partialité.</w:t>
      </w:r>
    </w:p>
    <w:p>
      <w:r>
        <w:t>Le Procureur ayant rendu la décision attaquée fonde pour sa part sa com- pétence sur l'art. 5 al. 1 let. b du règlement du 11 décembre 2012 sur l'or- ganisation et l'administration du Ministère public de la Confédération (RS 173.712.22; ci-après: règlement du MPC) selon lequel le chef d'état-major traite des recours et des dénonciations relatifs à des collaborateurs du MPC.</w:t>
      </w:r>
    </w:p>
    <w:p>
      <w:r>
        <w:rPr>
          <w:b/>
        </w:rPr>
        <w:t>E. 3.1</w:t>
      </w:r>
    </w:p>
    <w:p>
      <w:r>
        <w:t>Il convient en l'espèce de souligner ce qui suit.</w:t>
      </w:r>
    </w:p>
    <w:p>
      <w:r>
        <w:t>Aux termes de l'art. 15 al. 1 de la loi fédérale du 14 mars 1958 sur la res- ponsabilité de la Confédération, des membres de ses autorités et de ses fonctionnaires (LRCF; RS 170.32), une autorisation du Département fédé- ral de justice et police est nécessaire pour ouvrir une poursuite pénale contre des fonctionnaires en raison d'infractions en rapport avec leur activi- té ou leur situation officielle, exception faite des infractions en matière de circulation routière. Cette autorisation est délivrée par le procureur général pour le personnel du Ministère public de la Confédération qu'il a lui-même nommé (let. d). Comme l'a rappelé le Tribunal administratif fédéral dans son arrêt A-4920/2011 du 26 mars 2013 (consid. 2.2), les décisions prises par le procureur général de la Confédération au sens de l’art. 15 al. 1 let. d LRCF – d’autoriser ou non d’ouvrir une poursuite pénale contre l’un de ses agents – sont dépourvues de toute finalité pénale ou répressive. Elles vi- sent en effet à garantir le bon fonctionnement de son autorité, en prévenant toute éventualité de poursuites pénales contre l'un de ses agents qui se- raient inspirées par l'intention de nuire, de compliquer ou retarder l'instruc- tion d'une cause, ou qui seraient utilisées comme un moyen de pression ou de vengeance (v. ATF 137 IV 269 consid. 1.4; 93 I 83 consid. 2; Message</w:t>
      </w:r>
    </w:p>
    <w:p>
      <w:r>
        <w:t>- 9 -</w:t>
      </w:r>
    </w:p>
    <w:p>
      <w:r>
        <w:t>du Conseil fédéral du 29 juin 1956 concernant un projet de loi sur la res- ponsabilité de la Confédération, des membres de ses autorités et de ses fonctionnaires [ci-après : Message LRCF], publié in FF 1956 I 1420, 1425). Le procureur général de la Confédération n'agit ainsi pas au titre de ses compétences de poursuite pénale, mais rend une décision qui s'inscrit dans le cadre d’une procédure administrative préalable (v. ATF 137 IV 269 consid. 1.3.1). En d'autres termes, et bien que la procédure portant sur la question de la délivrance ou non d'une autorisation de poursuite pénale ne soit elle-même pas régie par la PA (v. art. 3 let. b in fine PA), le procureur général de la Confédération intervient en qualité d'autorité administrative de première instance lorsqu’il décide d’autoriser ou non une poursuite pénale contre un membre de son personnel. La décision qu'il prend au terme de son examen entre dans la définition de la décision au sens de l’art. 5 al. 1 let. a ou c PA (v. aussi ATAF 2010/53 consid. 7.2), selon qu’elle autorise ou refuse l’ouverture de la poursuite pénale.</w:t>
      </w:r>
    </w:p>
    <w:p>
      <w:r>
        <w:t>En outre, il s'impose de rappeler la teneur de l'art. 67 al. 1 LOAP, aux ter- mes de laquelle, en cas de poursuite pénale contre un procureur en chef ou un procureur en raison d'une infraction en rapport avec son activité, l'au- torité de surveillance désigne un membre du Ministère public de la Confé- dération ou nomme un procureur extraordinaire. Selon le Message du 10 septembre 2008 relatif la loi fédérale sur l'organisation des autorités péna- les de la Confédération (FF 2008 7371, 7418), l'Autorité de surveillance (dans le projet: le Conseil fédéral) se borne à désigner un membre du MPC ou un procureur fédéral extraordinaire en cas de poursuite pénale à l’encontre d’un autre membre du MPC (ce qui inclut le procureur général, ses suppléants, les procureurs en chef et les procureurs). Si les accusa- tions sont graves, ou que les soupçons portent sur une personne haut pla- cée au MPC, l'Autorité de surveillance aura tout intérêt à désigner un pro- cureur extérieur. Le procureur choisi ne sera pas obligé d’ouvrir une procé- dure. Il aura, de même, le droit de classer la procédure si les soupçons ne se sont pas concrétisés. Ces décisions pourront faire l’objet d’un recours devant la Cour des plaintes du Tribunal pénal fédéral.</w:t>
      </w:r>
    </w:p>
    <w:p>
      <w:r>
        <w:rPr>
          <w:b/>
        </w:rPr>
        <w:t>E. 3.2</w:t>
      </w:r>
    </w:p>
    <w:p>
      <w:r>
        <w:t>En l'espèce, ces procédures n'ont pas été respectées. Le Procureur fédéral auteur de l'ordonnance querellée indique que, après avoir examiné la plain- te pénale, il serait arrivé à la conclusion que les éléments constitutifs de l'infraction ou les conditions à l'ouverture de l'action pénale n'étaient mani- festement pas réunis (act. 12). En citant une doctrine de 1995, ladite autori- té allègue qu'une ordonnance de non-entrée en matière ne nécessiterait pas d'autorisation au sens de l'art. 15 LRCF. En outre, le vice lié à l'absen- ce d'une autorisation selon l'art. 303 CPP pourrait être guéri plus tard selon</w:t>
      </w:r>
    </w:p>
    <w:p>
      <w:r>
        <w:t>- 10 -</w:t>
      </w:r>
    </w:p>
    <w:p>
      <w:r>
        <w:t>une jurisprudence du Tribunal fédéral (arrêt 6B_142/2012 du 28 février 2013, consid. 2.5). L'Autorité de surveillance aurait en outre été informée de façon continue des vérifications préliminaires et des résultats y relatifs. Elle aurait au surplus consenti au prononcé choisi.</w:t>
      </w:r>
    </w:p>
    <w:p>
      <w:r>
        <w:t>La Cour de céans ne considère pas que l'on puisse se départir de l'autori- sation prévue à l'art. 15 LRCF. En effet, cette autorisation s'inscrit dans une procédure administrative distincte de la procédure pénale, disposant de voies de recours autonomes, dont le but est justement celui de procéder à un tri préalable des plaintes abusives, vouées donc potentiellement à faire l'objet d'une ordonnance de non-entrée en matière. Au surplus, il n'apparaît pas que la Cour puisse en l'occurrence intervenir pour qu'une telle autorisa- tion soit donnée a posteriori (v. à cet égard la jurisprudence citée par le MPC), dans la mesure où le magistrat ayant rendu le prononcé entrepris n'a pas été correctement désigné par l'Autorité de surveillance selon la pro- cédure exigée par l'art. 67 al. 1 LOAP. Une simple connaissance informelle de la part de cette autorité (le dossier ne montre d'ailleurs aucunement de quelle manière concrète celle-ci aurait été consultée) ne saurait en effet être considérée satisfaisante car elle ne permet à l'évidence pas d'assurer la transparence que le système mis en place par le législateur vise à at- teindre afin que le justiciable puisse se voir garantir un regard extérieur de la part d'une autorité indépendante. Il y a au surplus lieu de souligner que l'art. 5 al. 1 let. b du règlement du MPC ne saurait avoir une influence sur ce qui précède compte tenu du rang normatif inférieur de cet acte vis-à-vis des lois fédérales concernées.</w:t>
      </w:r>
    </w:p>
    <w:p>
      <w:r>
        <w:rPr>
          <w:b/>
        </w:rPr>
        <w:t>E. 3.3</w:t>
      </w:r>
    </w:p>
    <w:p>
      <w:r>
        <w:t>La nullité d'une décision n'est admise que si le vice dont elle est affectée est particulièrement grave, s'il est manifeste ou du moins facilement déce- lable et si, en outre, la constatation de la nullité ne met pas sérieusement en danger la sécurité du droit. Des vices de fond n'entraînent qu'à de rares exceptions la nullité d'une décision; en revanche, de graves vices de pro- cédure, ainsi que l'incompétence qualifiée de l'autorité qui l'a rendue sont des motifs de nullité (ATF 122 I 97 consid. 3a/aa; 114 Ia 427 consid. 8b; 113 IV 123 consid. 2b; 104 Ia 172 consid. 2c et les références citées). En l'espèce, il ne peut être considéré que l'ordonnance entreprise ait été ren- due par une autorité incompétente en tant que telle. En effet, l'auteur de la décision querellée appartient à une autorité qui pourrait être saisie de l'af- faire (v. supra consid. 3.1). Il y a par conséquent lieu de se limiter à décré- ter l'annulation du prononcé afin que les vices formels dont il est entaché soient réparés. Par ailleurs, il ne sied pas de faire droit à la conclusion du recourant tendant à la désignation d'une autorité indépendante puisque, comme il a été indiqué, il n'appartient pas à la Cour de céans mais à l'Auto-</w:t>
      </w:r>
    </w:p>
    <w:p>
      <w:r>
        <w:t>- 11 -</w:t>
      </w:r>
    </w:p>
    <w:p>
      <w:r>
        <w:t>rité de surveillance de désigner le magistrat chargé de traiter la plainte (v. supra consid. 3.1).</w:t>
      </w:r>
    </w:p>
    <w:p>
      <w:r>
        <w:rPr>
          <w:b/>
        </w:rPr>
        <w:t>E. 4</w:t>
      </w:r>
    </w:p>
    <w:p>
      <w:r>
        <w:t>Au vu de ce qui précède le recours est admis et l'ordonnance querellée an- nulée.</w:t>
      </w:r>
    </w:p>
    <w:p>
      <w:r>
        <w:rPr>
          <w:b/>
        </w:rPr>
        <w:t>E. 5.1</w:t>
      </w:r>
    </w:p>
    <w:p>
      <w:r>
        <w:t>Compte tenu de l'issue du recours, les frais de la présente décision sont pris en charge par la caisse de l'Etat (art. 428 al. 4 et 423 al. 1 CPP; Mes- sage, p. 1310; GRIESSER, in Kommentar zur Schweizerischen Strafprozes- sordnung [StPO], [Donatsch/Hansjakob/Lieber, éd.], 2010, n° 4 ad art. 428; SCHMID, op. cit., n° 1777).</w:t>
      </w:r>
    </w:p>
    <w:p>
      <w:r>
        <w:rPr>
          <w:b/>
        </w:rPr>
        <w:t>E. 5.2</w:t>
      </w:r>
    </w:p>
    <w:p>
      <w:r>
        <w:t>La partie qui obtient gain de cause a droit à une indemnité pour les dé- penses occasionnées par l’exercice raisonnable de ses droits de procédure (art. 436 al. 1 en lien avec l’art. 429 al. 1 let. a CPP). Selon l’art. 12 du rè- glement du Tribunal pénal fédéral sur les frais, émoluments, dépens et in- demnités de la procédure pénale fédérale du 31 août 2010 (RFPPF; RS 173.713.162), les honoraires sont fixés en fonction du temps effectivement consacré à la cause et nécessaire à la défense. En l’espèce, une indemnité d’un montant de CHF 1'500.-- paraît équitable (TVA incluse).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