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BB.2013.163 vom 20. Dezember 2013</w:t>
      </w:r>
    </w:p>
    <w:p>
      <w:r>
        <w:t>Bundesstrafgericht, 2013-12-20, DE</w:t>
      </w:r>
    </w:p>
    <w:p>
      <w:r>
        <w:rPr>
          <w:b/>
        </w:rPr>
        <w:t xml:space="preserve">Quelle: </w:t>
      </w:r>
      <w:r>
        <w:t>https://mcp.opencaselaw.ch/entscheid/bstger_BB.2013.163</w:t>
      </w:r>
    </w:p>
    <w:p>
      <w:r>
        <w:t>FR: TPF BB.2013.163 du 20 décembre 2013</w:t>
      </w:r>
    </w:p>
    <w:p>
      <w:r>
        <w:t>IT: TPF BB.2013.163 del 20 dicembre 2013</w:t>
      </w:r>
    </w:p>
    <w:p>
      <w:pPr>
        <w:pStyle w:val="Heading2"/>
      </w:pPr>
      <w:r>
        <w:t>Regeste</w:t>
      </w:r>
    </w:p>
    <w:p>
      <w:r>
        <w:t>Nichtanhandnahmeverfügung (Art. 310 i.V.m. Art. 322 Abs. 2 StPO).</w:t>
      </w:r>
    </w:p>
    <w:p>
      <w:pPr>
        <w:pStyle w:val="Heading2"/>
      </w:pPr>
      <w:r>
        <w:t>Erwägungen</w:t>
      </w:r>
    </w:p>
    <w:p>
      <w:r>
        <w:rPr>
          <w:b/>
        </w:rPr>
        <w:t>E. 1</w:t>
      </w:r>
    </w:p>
    <w:p>
      <w:r>
        <w:t>Nicht umstritten sind die Eintretensvoraussetzungen.</w:t>
      </w:r>
    </w:p>
    <w:p>
      <w:r>
        <w:rPr>
          <w:b/>
        </w:rPr>
        <w:t>E. 1.1</w:t>
      </w:r>
    </w:p>
    <w:p>
      <w:r>
        <w:t>Als Privatklägerschaft am Strafverfahren beteiligt sich diejenige geschädig- te Person, die ausdrücklich die Absicht erklärt hat, als Straf- oder Zivilklä- gerin teilzunehmen (Art. 118 Abs. 1 StPO; sog. Konstituierung). Geschädigt ist, wer durch die Straftat in seinen Rechten unmittelbar verletzt wurde (Art. 115 Abs. 1 StPO; BGE 138 IV 258 E. 2.1). An die Konstituierung der Privatklägerschaft sind in einem frühen Stadium des Verfahrens keine ho- hen Anforderungen zu stellen (BGE 137 IV 246 E. 1.3.1).</w:t>
      </w:r>
    </w:p>
    <w:p>
      <w:r>
        <w:rPr>
          <w:b/>
        </w:rPr>
        <w:t>E. 1.2</w:t>
      </w:r>
    </w:p>
    <w:p>
      <w:r>
        <w:t>Art. 312 StGB schützt (auch) den einzelnen Bürger vor dem missbräuchli- chen Einsatz der Staatsgewalt durch Amtsträger (HEIMGARTNER, Basler Kommentar zum StGB, 3. Aufl., Basel 2013, Art. 312 N. 4). Der Beschwer- deführer kann somit grundsätzlich geschädigt und zur Beschwerde legiti- miert sein. Der dargestellte Sachverhalt (obige Erwägung B) ist sodann ge- eignet, womöglich zu vermögensrechtlichen Ansprüchen zu führen.</w:t>
      </w:r>
    </w:p>
    <w:p>
      <w:r>
        <w:t>- 4 -</w:t>
      </w:r>
    </w:p>
    <w:p>
      <w:r>
        <w:t>Auch die weiteren Voraussetzungen für einen Sachentscheid (anfechtbarer Entscheid einer Vorinstanz; Einhaltung der Frist- und Formerfordernisse) sind erfüllt (zu den Voraussetzungen vgl. den Entscheid des Bundesstraf- gerichts BB.2011.120 vom 20. April 2012, E. 1). Auf die Beschwerde ist daher einzutreten.</w:t>
      </w:r>
    </w:p>
    <w:p>
      <w:r>
        <w:rPr>
          <w:b/>
        </w:rPr>
        <w:t>E. 2.1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(Art. 310 Abs. 1 lit. a) oder wenn Verfahrenshindernisse bestehen (Art. 310 Abs. 1 lit. b; BGE 137 IV 285 E. 2.2).</w:t>
      </w:r>
    </w:p>
    <w:p>
      <w:r>
        <w:rPr>
          <w:b/>
        </w:rPr>
        <w:t>E. 2.2</w:t>
      </w:r>
    </w:p>
    <w:p>
      <w:r>
        <w:t>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186 E. 4.1). Danach darf eine Nichtanhandnahme durch die Staatsanwaltschaft gestützt auf Art. 310 Abs. 1 lit. a StPO nur in sachverhaltsmässig und rechtlich kla- ren Fällen ergehen, so bei offensichtlicher Straflosigkeit, wenn der Sach- verhalt mit Sicherheit nicht unter einen Straftatbestand fällt oder bei eindeu- tig fehlenden Prozessvoraussetzungen. Im Zweifelsfall, wenn die Nichtanhandnahmegründe nicht mit absoluter Sicherheit gegeben sind, muss das Verfahren eröffnet werden. Dementsprechend darf keine Nichtanhandnahme verfügt werden, wenn die Staatsanwaltschaft zur Prü- fung der Nichtanhandnahmegründe vorgängig Untersuchungshandlungen durchführen muss. Ergibt sich nach durchgeführter Untersuchung, dass kein Straftatbestand erfüllt ist, kann die Staatsanwaltschaft das Strafverfah- ren gestützt auf Art. 319 StPO einstellen (BGE 137 IV 285 E. 2.3, 137 IV 219 E. 7; Urteil des Bundesgerichts 6B_127/2013 vom 3. September 2013, E. 4.1).</w:t>
      </w:r>
    </w:p>
    <w:p>
      <w:r>
        <w:rPr>
          <w:b/>
        </w:rPr>
        <w:t>E. 2.3</w:t>
      </w:r>
    </w:p>
    <w:p>
      <w:r>
        <w:t>Die Nichtanhandnahmeverfügung konzentriert sich auf die Frage des zweckentfremdeten Einsatzes staatlicher Macht (dazu BGE 127 IV 209</w:t>
      </w:r>
    </w:p>
    <w:p>
      <w:r>
        <w:t>- 5 -</w:t>
      </w:r>
    </w:p>
    <w:p>
      <w:r>
        <w:t>E. 1), insbesondere auf die Ausübung von Zwang. Sie verneinte eine sol- che und zog den Schluss, dass daher Art. 312 StGB sachverhaltsmässig und rechtlich eindeutig nicht erfüllt sei (act. 1.1 S. 2 f.).</w:t>
      </w:r>
    </w:p>
    <w:p>
      <w:r>
        <w:rPr>
          <w:b/>
        </w:rPr>
        <w:t>E. 2.4</w:t>
      </w:r>
    </w:p>
    <w:p>
      <w:r>
        <w:t>Eine Untersuchungsbehörde wendet das Recht von Amtes wegen an. Die Nichtanhandnahmeverfügung äussert sich nicht zum Tatbestand der Falschbeurkundung (Art. 251 StGB resp. als Amtsdelikt Art. 317 StGB). Treffen beide Bestimmungen aufeinander, geht Art. 317 StGB als lex specialis vor (BOOG, Basler Kommentar zum StGB, Basel 2013, Art. 317 N. 24, vgl. BGE 131 IV 125 E. 4.3). Eine Urkundenfälschung im Amt (Art. 317 StGB) begeht (soweit hier we- sentlich), wer als Beamter oder Person öffentlichen Glaubens vorsätzlich eine rechtlich erhebliche Tatsache unrichtig beurkundet. Angedroht sind eine Freiheitsstrafe bis zu fünf Jahren oder Geldstrafe (Art. 317 Ziff. 1 StGB; vgl. BGE 131 IV 125 E. 4.4/4.5). Wer fahrlässig handelt, macht sich ebenfalls strafbar und kann gebüsst werden (Art. 317 Ziff. 2 StGB).</w:t>
      </w:r>
    </w:p>
    <w:p>
      <w:r>
        <w:rPr>
          <w:b/>
        </w:rPr>
        <w:t>E. 2.5</w:t>
      </w:r>
    </w:p>
    <w:p>
      <w:r>
        <w:t>Es gilt nun auf die einzelnen Tatbestandsvoraussetzungen einzugehen, soweit dies beim jetzigen Verfahrensstand die Akten erlauben:</w:t>
      </w:r>
    </w:p>
    <w:p>
      <w:r>
        <w:rPr>
          <w:b/>
        </w:rPr>
        <w:t>E. 2.5.1</w:t>
      </w:r>
    </w:p>
    <w:p>
      <w:r>
        <w:t>B. ist als Angestellter der Bundesverwaltung ein Beamter im Sinne von Art. 317 StGB (vgl. Art. 110 Abs. 3 StGB; BGE 135 IV 198 E. 3.3; BOOG, a.a.O., Art. 317 N. 2).</w:t>
      </w:r>
    </w:p>
    <w:p>
      <w:r>
        <w:rPr>
          <w:b/>
        </w:rPr>
        <w:t>E. 2.5.2</w:t>
      </w:r>
    </w:p>
    <w:p>
      <w:r>
        <w:t>Urkunden sind Schriften, die bestimmt und geeignet sind, eine Tatsache von rechtlicher Bedeutung zu beweisen (Art. 110 Abs. 4 StGB). Der Beam- te muss sie nicht kraft seines Amtes erstellt haben; der Tatbestand setzt keine öffentliche Urkunde voraus (BOOG, a.a.O., Art. 317 N. 3). Ein von einem Beamten angeforderter Bericht über rechtserhebliche Tatsachen stellt eine Urkunde dar, jedenfalls dann wenn er nicht bloss zum internen Gebrauch in der Verwaltung bestimmt ist (BGE 93 IV 49 E. III. 2 in casu ein von der vorgesetzten Behörde angeforderter Dienstrapport; BGE 138 IV 209 E. 5.3/5.4 E-Mail als Urkunde; BGE 138 IV 130 E. 2.2.1 zum Urkun- dencharakter; Kasuistik in BOOG, a.a.O., Art. 110 Abs. 4 N. 55–60). Die Anfrage Staatsanwaltschaft Zürich-Limmat vom 17. Dezember 2010 (Beilage 3 zur Strafanzeige vom 9. August 2013) ist an das BAV adressiert und wendet sich an Herrn C. Sie bittet entweder um einen Bericht oder um eine kurze Stellungnahme zu den Beweisanträgen des Beschwerdeführers an das Bezirksgericht Zürich vom 16. September 2010 (Beilage 4 zur Strafanzeige). Als Beilagen zur Anfrage sind zwei Flugblätter und die ge- nannten Beweisanträge erwähnt. Darauf antwortend, unterzeichnete B. am</w:t>
      </w:r>
    </w:p>
    <w:p>
      <w:r>
        <w:t>- 6 -</w:t>
      </w:r>
    </w:p>
    <w:p>
      <w:r>
        <w:t>22. Februar 2011 das mit "Bericht über Limmatschiffe der ZSG" betitelte vierseitige Schriftstück mit seiner Funktionsbezeichnung "[…]". Die Strafbehörden holen amtliche Berichte über Vorgänge ein, die im Straf- verfahren bedeutsam sein können (Art. 195 Abs. 1 StPO). Demnach und nach dem Wortlaut der Anfrage äussert sich der von B. unterzeichnete Be- richt auch für ihn erkennbar zu rechtserheblichen Tatsachen. Sein Bericht war somit bestimmt und geeignet, einen Beweis zu erbringen (vgl. BOOG, a.a.O., Art. 110 Abs. 4 N. 22, 27, 29, 32). Der Amtsbericht vom 22. Februar 2011 ist demnach eine Urkunde im Sinne des Tatbestandes.</w:t>
      </w:r>
    </w:p>
    <w:p>
      <w:r>
        <w:rPr>
          <w:b/>
        </w:rPr>
        <w:t>E. 2.5.3</w:t>
      </w:r>
    </w:p>
    <w:p>
      <w:r>
        <w:t>Ob nach Art. 317 StGB objektiv eine Falschbeurkundung (dazu BGE 115 IV 114 E. 3) vorliegt, kann das Gericht aufgrund der Akten weder feststellen noch ausschliessen. Die bei einer erteilten Ermächtigung (vgl. E. 3 nach- stehend) zu eröffnende Untersuchung wird dies abklären, namentlich ob Divergenzen zwischen dem Kontrollbericht und dem Amtsbericht bestehen und gegebenenfalls deren Art und Gewicht bestimmen.</w:t>
      </w:r>
    </w:p>
    <w:p>
      <w:r>
        <w:rPr>
          <w:b/>
        </w:rPr>
        <w:t>E. 2.5.4</w:t>
      </w:r>
    </w:p>
    <w:p>
      <w:r>
        <w:t>Was das Handeln mit Wissen und Willen (den subjektiven Tatbestand) be- trifft, so verlangt Art. 317 StGB keine Vorteils- oder Schädigungsabsicht (vgl. BGE 113 IV 77 E. 4). Der Täter muss aber zur Täuschung im Rechts- verkehr handeln, ansonsten die nötige Beziehung zum geschützten Rechtsgut fehlt (so BOOG, a.a.O., Art. 317 N. 18). Schlösse die Untersuchung vorsätzliches Handeln aus, wäre ihr Ergebnis sodann im Lichte der geschuldeten Sorgfalt zu würdigen (Art. 317 Ziff. 2 StGB; BOOG, a.a.O., Art. 317 N. 21).</w:t>
      </w:r>
    </w:p>
    <w:p>
      <w:r>
        <w:rPr>
          <w:b/>
        </w:rPr>
        <w:t>E. 2.6</w:t>
      </w:r>
    </w:p>
    <w:p>
      <w:r>
        <w:t>Zusammenfassend: Die angefochtene Verfügung würdigt den Sachverhalt rechtlich lückenhaft. Sie zeigt weder klar eine offensichtliche Straflosigkeit auf, noch dass der Sachverhalt mit Sicherheit nicht unter einen Straftatbe- stand fällt. Es kann nicht ausgeschlossen werden, dass Art. 317 StGB er- füllt sein könnte. Die im Falle einer erteilten Ermächtigung zu eröffnende Untersuchung müsste dies abklären.</w:t>
      </w:r>
    </w:p>
    <w:p>
      <w:r>
        <w:rPr>
          <w:b/>
        </w:rPr>
        <w:t>E. 3</w:t>
      </w:r>
    </w:p>
    <w:p>
      <w:r>
        <w:t>Gemäss Art. 303 Abs. 1 StPO darf ein Vorverfahren erst eingeleitet wer- den, wenn die Ermächtigung (dazu BGE 139 IV 161 E. 2.3) erteilt wurde. Das Vorverfahren besteht gemäss Art. 299 Abs. 1 StPO aus dem Ermitt- lungsverfahren der Polizei und der Untersuchung der Staatsanwaltschaft. Die Ermächtigung ist eine positive Verfolgungsvoraussetzung, welche die Untersuchungsbehörden vor der Eröffnung einer Strafuntersuchung von Amtes wegen zu prüfen haben. Die Strafverfolgungsbehörden dürfen ihre</w:t>
      </w:r>
    </w:p>
    <w:p>
      <w:r>
        <w:t>- 7 -</w:t>
      </w:r>
    </w:p>
    <w:p>
      <w:r>
        <w:t>Tätigkeit erst aufnehmen, wenn die erforderliche Ermächtigung vorliegt. Fehlt die Prozessvoraussetzung einer Ermächtigung, darf kein Strafverfah- ren durchgeführt werden (LANDSHUT, Art. 303 N. 11 f.; in Donatsch/Hansjakob/Lieber [Hrsg.], Kommentar zur StPO, Zürich 2010; ebenda auch WOHLERS, Art. 7 N. 11). Der Ermächtigungsentscheid ist nach strafrechtlichen Gesichtspunkten zu fällen (BGE 137 IV 269 E. 2.4). Sicherlich vor der formellen Eröffnung einer Untersuchung hat sich damit das zuständige Departement nach pflichtgemässem Ermessen über die Er- teilung einer Ermächtigung auszusprechen.</w:t>
      </w:r>
    </w:p>
    <w:p>
      <w:r>
        <w:rPr>
          <w:b/>
        </w:rPr>
        <w:t>E. 4</w:t>
      </w:r>
    </w:p>
    <w:p>
      <w:r>
        <w:t>Bei diesem Ausgang des Verfahrens sind keine Gerichtsgebühren zu erhe- ben (Art. 423 Abs. 1 StPO; Art. 428 Abs. 1 StPO). Sein Kostenvorschuss von Fr. 2'000.-- (act. 4) ist dem Beschwerdeführer zurückzuerstatten.</w:t>
      </w:r>
    </w:p>
    <w:p>
      <w:r>
        <w:t>Die Beschwerdegegnerin hat dem Beschwerdeführer für seine Aufwendun- gen im vorliegenden Verfahren eine Parteientschädigung von pauschal Fr. 1'000.-- zu entrichten (Art. 429 Abs. 1 lit. a StPO; Art. 73 StBOG und Art. 5 und 8 Abs. 1 des Reglements des Bundesstrafgerichts vom 31. August 2010 über die Kosten, Gebühren und Entschädigungen in Bun- desstrafverfahren [BStKR; SR 173.713.162]).</w:t>
      </w:r>
    </w:p>
    <w:p>
      <w:r>
        <w:rPr>
          <w:b/>
        </w:rPr>
        <w:t>E. 5</w:t>
      </w:r>
    </w:p>
    <w:p>
      <w:r>
        <w:t>Der möglicherweise zukünftige Beschuldigte B. hat keinen Anspruch auf Stellungnahme zur Frage, ob gegen ihn ein Strafverfahren einzuleiten ist (vgl. das Urteil des Bundesgerichts 6B_1132/2013 vom 27. November 2013, E. 2.1 zum Bestehen eines Nachteils): Der vorliegen- de Entscheid ist nur den Parteien des Beschwerdeverfahrens zuzustellen.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