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BB.2013.155 vom 9. Januar 2014</w:t>
      </w:r>
    </w:p>
    <w:p>
      <w:r>
        <w:t>Bundesstrafgericht, 2014-01-09, DE</w:t>
      </w:r>
    </w:p>
    <w:p>
      <w:r>
        <w:rPr>
          <w:b/>
        </w:rPr>
        <w:t xml:space="preserve">Quelle: </w:t>
      </w:r>
      <w:r>
        <w:t>https://mcp.opencaselaw.ch/entscheid/bstger_BB.2013.155</w:t>
      </w:r>
    </w:p>
    <w:p>
      <w:r>
        <w:t>FR: TPF BB.2013.155 du 9 janvier 2014</w:t>
      </w:r>
    </w:p>
    <w:p>
      <w:r>
        <w:t>IT: TPF BB.2013.155 del 9 gennaio 2014</w:t>
      </w:r>
    </w:p>
    <w:p>
      <w:pPr>
        <w:pStyle w:val="Heading2"/>
      </w:pPr>
      <w:r>
        <w:t>Regeste</w:t>
      </w:r>
    </w:p>
    <w:p>
      <w:r>
        <w:t>Rechtsverweigerung und Rechtsverzögerung (Art. 393 Abs. 2 lit. a StPO). 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Dezember 2010 ausser Kraft getreten ist (vgl. Art. 77 StBOG und des- sen Anhang);</w:t>
      </w:r>
    </w:p>
    <w:p>
      <w:r>
        <w:t>- es der Beschwerdekammer ebenso wenig zusteht, über die von der Be- schwerdeführerin beiläufig beantragte Berichtigung des den Beschuldigten B. betreffenden Urteils zu befinden (siehe act. 1, Rz. 25b);</w:t>
      </w:r>
    </w:p>
    <w:p>
      <w:r>
        <w:t>- auf die Beschwerde damit schon bei deren Erhebung nur einzutreten war, soweit mit ihr eine Rechtsverzögerung gerügt wurde;</w:t>
      </w:r>
    </w:p>
    <w:p>
      <w:r>
        <w:t>- das Beschwerdeverfahren abzuschreiben ist, wenn die im Zeitpunkt der Beschwerdeeinreichung gegebene Beschwer im Verlauf des Beschwerde- verfahrens dahinfällt und die Beschwerde gegenstandslos wird (GUIDON, Die Beschwerde gemäss Schweizerischer Strafprozessordnung, Berner Diss., Zürich/St. Gallen 2011, N. 554 m.w.H. in Fn 1959);</w:t>
      </w:r>
    </w:p>
    <w:p>
      <w:r>
        <w:t>- das aktuelle Interesse der Beschwerdeführerin am Beschwerdeverfahren nach der mittlerweile erfolgten Einstellung des gegen sie gerichteten Straf- verfahrens weggefallen ist, weshalb das Beschwerdeverfahren zufolge Ge- genstandslosigkeit als erledigt von der Geschäftskontrolle abzuschreiben ist;</w:t>
      </w:r>
    </w:p>
    <w:p>
      <w:r>
        <w:t>- wenn ein Beschwerdeverfahren gegenstandslos wird, diejenige Partei kos- ten- und entschädigungspflichtig wird, welche die Gegenstandslosigkeit des Rechtsmittels verursachte (TPF 2011 31 m.w.H.; siehe zuletzt auch den Beschluss des Bundesstrafgerichts BB.2013.56 vom 17. Juni 2013);</w:t>
      </w:r>
    </w:p>
    <w:p>
      <w:r>
        <w:t>- vorliegend die Beschwerdegegnerin die Gegenstandslosigkeit zu vertreten hat und damit grundsätzlich kosten- und entschädigungspflichtig wird;</w:t>
      </w:r>
    </w:p>
    <w:p>
      <w:r>
        <w:t>- 4 -</w:t>
      </w:r>
    </w:p>
    <w:p>
      <w:r>
        <w:t>- die Gerichtskosten somit auf die Staatskasse zu nehmen sind (Art. 423 Abs. 1 StPO);</w:t>
      </w:r>
    </w:p>
    <w:p>
      <w:r>
        <w:t>- die Beschwerdegegnerin demzufolge der Beschwerdeführerin eine Ent- schädigung ihrer Aufwendungen für die angemessene Ausübung ihrer Ver- fahrensrechte auszurichten hat (Art. 436 Abs. 1 i.V.m. Art. 429 Abs. 1 lit. a StPO);</w:t>
      </w:r>
    </w:p>
    <w:p>
      <w:r>
        <w:t>- diese Entschädigung vorliegend ermessensweise auf Fr. 1'500.-- festzuset- zen ist (inkl. Auslagen und MwSt.; Art. 10 und 12 Abs. 2 des Reglements des Bundesstrafgerichts vom 31. August 2010 über die Kosten, Gebühren und Entschädigungen in Bundesstrafverfahren [BStKR; SR 173.713.162]);</w:t>
      </w:r>
    </w:p>
    <w:p>
      <w:r>
        <w:t>- das Gesuch um unentgeltliche Rechtspflege bei diesem Ausgang des Ver- fahrens ebenfalls zufolge Gegenstandslosigkeit als erledigt von der Ge- schäftskontrolle abzuschreiben ist;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