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 vom 17. Mai 2013</w:t>
      </w:r>
    </w:p>
    <w:p>
      <w:r>
        <w:t>Bundesstrafgericht, 2013-05-17, DE</w:t>
      </w:r>
    </w:p>
    <w:p>
      <w:r>
        <w:rPr>
          <w:b/>
        </w:rPr>
        <w:t xml:space="preserve">Quelle: </w:t>
      </w:r>
      <w:r>
        <w:t>https://mcp.opencaselaw.ch/entscheid/bstger_BB.2013.13</w:t>
      </w:r>
    </w:p>
    <w:p>
      <w:r>
        <w:t>FR: TPF BB.2013.13 du 17 mai 2013</w:t>
      </w:r>
    </w:p>
    <w:p>
      <w:r>
        <w:t>IT: TPF BB.2013.13 del 17 maggio 2013</w:t>
      </w:r>
    </w:p>
    <w:p>
      <w:pPr>
        <w:pStyle w:val="Heading2"/>
      </w:pPr>
      <w:r>
        <w:t>Regeste</w:t>
      </w:r>
    </w:p>
    <w:p>
      <w:r>
        <w:t>Wechsel der amtlichen Verteidigung (Art. 134 Abs. 2 StPO). Bestellung einer unentgeltlichen amtlichen Verteidigung (Art. 132 Abs. 1 lit. b i.V.m. Art. 133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Beschwerde richtet sich gegen die Verfügung der BA vom 6. Februar 2013, welche entgegen den Anträgen des heutigen Beschwerdeführers den notwendigen Verteidiger nicht aus seinem Mandat entliess. Es liegt ein taugliches Anfechtungsobjekt vor (vgl. SCHMID, Handbuch des schweizeri- schen Strafprozessrechts, Zürich/St. Gallen 2009, N. 749). Weiter ist ein rechtlich geschütztes Interesse Voraussetzung der Beschwerde (SCHMID, ibidem, N. 1458). Der Beschwerdeführer ist als Beschuldigter des Strafver- fahrens durch Ziffer 1 der angefochtenen Verfügung direkt betroffen und damit insoweit zur Beschwerde legitimiert. Indessen fehlt ihm die Legitima- tion, um namens seines notwendigen Verteidigers auch Ziffer 2 der Verfü- gung anzufechten.</w:t>
      </w:r>
    </w:p>
    <w:p>
      <w:r>
        <w:t>Soweit sich die fristgerecht eingereichte Beschwerde gegen Ziffer 1 der angefochtenen Verfügung richtet, ist auf sie grundsätzlich einzutreten.</w:t>
      </w:r>
    </w:p>
    <w:p>
      <w:r>
        <w:rPr>
          <w:b/>
        </w:rPr>
        <w:t>E. 1.3</w:t>
      </w:r>
    </w:p>
    <w:p>
      <w:r>
        <w:t>Dies ist nicht so in Bezug auf den Antrag 2 – er verlangt die Feststellung des zerrütteten Verhältnisses zwischen dem Beschwerdeführer und seinem notwendigen Verteidiger – da hier kein Feststellungsinteresse besteht: So- wohl wenn der Antrag 3 zur Sache – Enthebung des notwendigen Verteidi- gers – gutgeheissen wird, als auch wenn er abgewiesen wird, hat der Be- schwerdeführer kein (rechtliches) Interesse an der anbegehrten Feststel- lung. Auch diesbezüglich ist auf die Beschwerde folglich nicht einzutreten.</w:t>
      </w:r>
    </w:p>
    <w:p>
      <w:r>
        <w:t>- 5 -</w:t>
      </w:r>
    </w:p>
    <w:p>
      <w:r>
        <w:t>Soweit die Ernennung eines neuen Verteidigers beantragt ist (Antrag 4), kann ebenfalls nicht auf die Beschwerde eingetreten werden, da Art. 133 Abs. 1 StPO die Bestellung der amtlichen Verteidigung der im jeweiligen Verfahrensstadium zuständigen Verfahrensleitung vorbehält. Selbst wenn die Beschwerde mit Blick auf die Auflösung der bisherigen notwendigen Verteidigung gutgeheissen würde, wäre damit noch nicht zugleich auch der neue Verteidiger bestimmt. Hierzu bedarf es wiederum eines Entscheids der dazu zuständigen BA (Art. 61 lit. a StPO).</w:t>
      </w:r>
    </w:p>
    <w:p>
      <w:r>
        <w:rPr>
          <w:b/>
        </w:rPr>
        <w:t>E. 2.1</w:t>
      </w:r>
    </w:p>
    <w:p>
      <w:r>
        <w:t>Der Beschwerdeführer wirft seinem Anwalt vor, ihn niemals korrekt über den Stand des Verfahrens informiert zu haben und seine Anweisungen nicht befolgt zu haben. Der Anwalt habe ihm die Vorladung für die Einver- nahme mit der Zusicherung freien Geleits erst am 1. Februar 2013 zukom- men lassen. Hauptsächlich macht er aber geltend, dass Rechtsanwalt B. neben der Entschädigung als amtlicher Verteidiger noch zusätzlich ver- sucht habe, sich von ihm bezahlen zu lassen. Sodann wirft er ihm weiter im Grunde vor, nach wie vor als sein notwendiger Verteidiger zu amten, ob- wohl er dies nicht wünsche. Er wünsche Rechtsanwalt C., Anwalt aus Genf, und verweigere Instruktionen an Rechtsanwalt B. (act. 1, 1.2).</w:t>
      </w:r>
    </w:p>
    <w:p>
      <w:r>
        <w:rPr>
          <w:b/>
        </w:rPr>
        <w:t>E. 2.2</w:t>
      </w:r>
    </w:p>
    <w:p>
      <w:r>
        <w:t>Die BA sieht prozesstaktische Gründe hinter der plötzlich aufgetretenen Verweigerung des Beschwerdeführers, mit Rechtsanwalt B. zusammenzu- arbeiten. Es gehe ihm darum, die Schlusseinvernahme und damit den Ab- schluss der Untersuchung zu torpedieren. Das Netz von Anzeigen zeuge von einem strategisch durchdachten und geplanten Vorgehen des Be- schwerdeführers, welches auch mit den Verteidigern der anderen Beschul- digten offensichtlich abgesprochen sei. Ein neu eingesetzter Anwalt könne sich in dieses komplexe Verfahren nur mit enormem Zeitaufwand einarbei- ten. Anders zu entscheiden, als das Gesuch bezüglich Wechsel der not- wendigen Verteidigung abzulehnen, würde bedeuten, Trölerei und Rechts- missbrauch Vorschub zu leisten (act. 5 S. 6, 8-9; vgl. auch Erwägung D oben).</w:t>
      </w:r>
    </w:p>
    <w:p>
      <w:r>
        <w:rPr>
          <w:b/>
        </w:rPr>
        <w:t>E. 3.1</w:t>
      </w:r>
    </w:p>
    <w:p>
      <w:r>
        <w:t>Nach Art. 134 Abs. 2 StPO überträgt die Verfahrensleitung die amtliche Verteidigung einer anderen Person, wenn das Vertrauensverhältnis zwi- schen der beschuldigten Person und ihrer amtlichen Verteidigung erheblich gestört oder eine wirksame Verteidigung aus andern Gründen nicht mehr gewährleistet ist. Die Regelung in der Schweizerischen Strafprozessord- nung geht damit über die bisherige Praxis hinaus. Sie trägt dem Umstand</w:t>
      </w:r>
    </w:p>
    <w:p>
      <w:r>
        <w:t>- 6 -</w:t>
      </w:r>
    </w:p>
    <w:p>
      <w:r>
        <w:t>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w:t>
      </w:r>
    </w:p>
    <w:p>
      <w:r>
        <w:rPr>
          <w:b/>
        </w:rPr>
        <w:t>E. 3.2</w:t>
      </w:r>
    </w:p>
    <w:p>
      <w:r>
        <w:t>Wird die subjektive Sichtweise des Beschuldigten in den Vordergrund ge- stellt, bedeutet dies aber nicht, dass allein dessen Empfinden für einen Wechsel der Verteidigung ausreicht. Vielmehr muss diese Störung mit kon- kreten Hinweisen, die in nachvollziehbarer Weise für ein fehlendes Ver- trauensverhältnis sprechen, belegt und objektiviert werden (BGE 138 IV 161 E. 2.5.4; Urteil des Bundesgerichts 1B.410/2012 vom 3. Oktober 2012, E. 1.3; RUCKSTUHL, Kommentar zur StPO, Basel 2011, Art. 134 N. 8; SCHMID, Schweizerische Strafprozessordnung, Praxiskommentar, Zürich 2009, Art. 134 N. 2). Der blosse Wunsch des Beschuldigten, nicht mehr durch den ihm beigegebenen Verteidiger vertreten zu werden, reicht für einen Wechsel nicht aus (a.M. LÜDERSSEN/JAHN, Die Strafprozessordnung und das Gerichtsverfassungsgesetz, 26. Aufl. 2007, N. 9 f. zu § 143 StPO/D), ebenso wenig die Weigerung, mit dem beigegebenen Ver- teidiger zusammenzuarbeiten (Urteil des Bundesgerichts 1B.197/2011 vom 14. Juli 2011, E. 1.7). Dabei ist der amtliche Verteidiger nicht bloss das unkritische Sprachrohr seines Mandanten. Vielmehr obliegt ihm grundsätzlich die pflichtgemässe Wahl der Verteidigungsstrategie (BGE 126 I 194 E. 3d; Urteile des Bun- desgerichts 6B.500/2012 vom 4. April 2013, E. 1.3.2; 1B.645/2011 vom 14. März 2012, E. 2.2-2.4, je mit Hinweisen; 1B.197/2011 vom 14. Juli 2011, E. 1.7; RUCKSTUHL, ibidem; SCHMID, ibidem; WALTER HAEFELIN, Die amtliche Verteidigung im schweizerischen Strafprozess, 2010, S. 286 f.; LIEBER, Kommentar zur Schweizerischen Strafprozessordnung, Zü- rich 2010, Art. 134 N. 21).</w:t>
      </w:r>
    </w:p>
    <w:p>
      <w:r>
        <w:rPr>
          <w:b/>
        </w:rPr>
        <w:t>E. 3.3</w:t>
      </w:r>
    </w:p>
    <w:p>
      <w:r>
        <w:t>Namentlich ergab es sich nicht aus dem Umstand, dass der Anwalt unter anderem eine nicht ausreichende Deckung der Verteidigungskosten vor Gericht beanstandete, dass der amtliche Rechtsvertreter vorwiegend seine eigenen Interessen verfolge und daher eine effiziente Verteidigung nicht mehr gewährleiste (Urteil des Bundesgerichts 1B.197/2011 vom 14. Juli 2011, E. 1.3/1.7).</w:t>
      </w:r>
    </w:p>
    <w:p>
      <w:r>
        <w:rPr>
          <w:b/>
        </w:rPr>
        <w:t>E. 3.4</w:t>
      </w:r>
    </w:p>
    <w:p>
      <w:r>
        <w:t>Dass in casu der Beschwerdeführer sich bei verschiedenen Behörden über seinen notwendigen Verteidiger beschwerte und Strafanzeige stellte, muss</w:t>
      </w:r>
    </w:p>
    <w:p>
      <w:r>
        <w:t>- 7 -</w:t>
      </w:r>
    </w:p>
    <w:p>
      <w:r>
        <w:t>für sich nicht zum Wechsel des notwendigen Verteidigers führen. Dass er ursprünglich offenbar in ein Zusatzhonorar einwilligte und das Gesuch um Verteidigerwechsel erst relativ kurz vor der Schlusseinvernahme gestellt wurde (vgl. act. 1.19 mit dem dortigen Verweis), spricht vielmehr objektiv gegen ein gänzliches Fehlen einer Vertrauensgrundlage.</w:t>
      </w:r>
    </w:p>
    <w:p>
      <w:r>
        <w:t>Indessen scheinen vorliegend im Grunde alle Beteiligten einen Wechsel zu wünschen. Für den notwendigen Verteidiger bestehen neben sachlichen auch persönliche Gründe für einen Wechsel (act. 9.1). Während sich die BA einem Wechsel widersetzt, ergibt sich verschiedentlich aus den Akten ihre Bestimmtheit, Verzögerungen so gering wie möglich zu halten und schnell Klarheit zu gewinnen (vgl. act. 1.5, act. 5 S. 9, act. 1.27). Ein Ab- warten, bis beispielsweise klar wird, ob die Strafanzeige wegen Erpressung überhaupt an die Hand genommen wird, erscheint damit unverträglich.</w:t>
      </w:r>
    </w:p>
    <w:p>
      <w:r>
        <w:t>In der Person des Beschwerdeführers vereint sich mit dem gegen ihn in- struierten komplexen Verfahren sein Aufenthalt im Ausland, seine Herkunft aus einem anderen Kulturraum und das nur teilweise Beherrschen der Landessprache. Eine gewisse zukünftige Schutzbedürftigkeit ist nicht von der Hand zu weisen, zumal angesichts der schweren Vorwürfe, denen er sich konfrontiert sieht. Dem mit einem einmaligen Anwaltswechsel Rech- nung zu tragen, liegt objektiv im Interesse auch der Rechtspflege. Sodann reicht der Beschwerdeführer ein e-Mail des Verteidigers ein, welches stra- tegische Überlegungen enthält und ihm für das vorliegende Beschwerde- verfahren zumindest nicht hilft (act. 1.26, act. 1.19, vgl. auch act. 1.23). Es liegt somit ein Sonderfall vor, in welchem eine engagierte und effiziente Verteidigung (so die Botschaft, ibidem) ohne Anwaltswechsel zukünftig nur in gewissen Schranken möglich sein wird.</w:t>
      </w:r>
    </w:p>
    <w:p>
      <w:r>
        <w:rPr>
          <w:b/>
        </w:rPr>
        <w:t>E. 3.5</w:t>
      </w:r>
    </w:p>
    <w:p>
      <w:r>
        <w:t>Während damit für das bisherige Verfahren objektiv keine ungenügende Verteidigung festzustellen ist, hat sich die Sachlage für den weiteren Ver- lauf des Strafverfahrens aufgrund der Ereignisse und Divergenzen zwi- schen BA und Verteidiger verändert. Die Abberufung des bisherigen not- wendigen Verteidigers ist damit angezeigt und die BA hat deshalb für die Zukunft eine neue notwendige Verteidigung zu bestellen.</w:t>
      </w:r>
    </w:p>
    <w:p>
      <w:r>
        <w:rPr>
          <w:b/>
        </w:rPr>
        <w:t>E. 3.6</w:t>
      </w:r>
    </w:p>
    <w:p>
      <w:r>
        <w:t>Wie in Erwägung 1.3 oben erwähnt, obliegt die Bestellung eines notwendi- gen Verteidigers vorliegend der BA, welche in ihre Auswahl durchaus As- pekte der anwaltlichen Verfügbarkeiten miteinbeziehen kann. Aspekte der Bedürftigkeit sind im Untersuchungsstadium und bei notwendiger Verteidi- gung demgegenüber weniger einschlägig (act. 1.1, act. 1.11 S. 2). Das</w:t>
      </w:r>
    </w:p>
    <w:p>
      <w:r>
        <w:t>- 8 -</w:t>
      </w:r>
    </w:p>
    <w:p>
      <w:r>
        <w:t>Stadium des Verfahrens (Schlusseinvernahme mit Schlussvorhalt) sollte einer zielgerechten Einarbeitung in ein neues Mandat förderlich sein.</w:t>
      </w:r>
    </w:p>
    <w:p>
      <w:r>
        <w:rPr>
          <w:b/>
        </w:rPr>
        <w:t>E. 3.7</w:t>
      </w:r>
    </w:p>
    <w:p>
      <w:r>
        <w:t>Die Entbindung des bisherigen Verteidigers wird erst wirksam und dieser von seinem Mandat entbunden, wenn ein neuer notwendiger Verteidiger eingesetzt ist. Damit ist der bisherige Verteidiger namentlich für den vorlie- genden Beschluss, wie auch für die Verfügung der BA bezüglich Bestellung einer (neuen) notwendigen Verteidigung, nach wie vor die Schweizer Zu- stelladresse des Beschwerdeführers. Dies ist folgerichtig mit dem Befund der bisherigen objektiv genügenden Verteidigung.</w:t>
      </w:r>
    </w:p>
    <w:p>
      <w:r>
        <w:rPr>
          <w:b/>
        </w:rPr>
        <w:t>E. 4</w:t>
      </w:r>
    </w:p>
    <w:p>
      <w:r>
        <w:t>Insgesamt ist die Beschwerde, soweit auf sie eingetreten werden kann, im Sinne der obigen Erwägung 3 teilweise gutzuheissen.</w:t>
      </w:r>
    </w:p>
    <w:p>
      <w:r>
        <w:rPr>
          <w:b/>
        </w:rPr>
        <w:t>E. 5</w:t>
      </w:r>
    </w:p>
    <w:p>
      <w:r>
        <w:t>Wie im Beschluss des Bundesstrafgerichts vom 5. Februar 2013, E. 7 (Ver- fahren BB.2012.66 zwischen denselben Parteien) festgehalten, liegen für den Beschwerdeführer die Voraussetzungen einer amtlichen Verteidigung für das Beschwerdeverfahren nicht vor. Es sind seitdem keine neuen Er- kenntnisse eingebracht worden. Auf diese nach wie vor gültigen Ausfüh- rungen ist hier zu verweisen. Hinzu tritt, dass die sehr beschränkte Frage- stellung des vorliegenden Verfahrens es dem Beschwerdeführer erlaubte, sich auf einfache Art und Weise und für das Gericht voll erkenntlich auszu- drücken. Zudem schloss sich der notwendige Verteidiger des Strafverfah- rens seinen Anträgen mit einlässlicher Begründung an. Damit bedurfte es in sachlicher Hinsicht keiner amtlichen Verteidigung im Beschwerdeverfah- ren, zumal sich nur beschränkt Rechtsfragen stellen. Das Gesuch (Verfah- rensantrag 1) ist mangels Bedürftigkeit und Erforderlichkeit abzuweisen.</w:t>
      </w:r>
    </w:p>
    <w:p>
      <w:r>
        <w:t>Nach dem Vorstehenden ist auch keine Ergänzung der Eingaben ange- bracht, wozu der Beschwerdeführer im Übrigen anlässlich der Replik Gele- genheit gehabt hätte. Bezüglich Schweizer Zustelldomizil bestehen keiner- lei Hinweise, dass der notwendige Verteidiger diesbezüglich seinen Pflich- ten objektiv nicht nachkommen könnte oder nicht nachgekommen wäre. Demzufolge ist der Verfahrensantrag 1 auch im Übrigen abzuweisen.</w:t>
      </w:r>
    </w:p>
    <w:p>
      <w:r>
        <w:rPr>
          <w:b/>
        </w:rPr>
        <w:t>E. 6</w:t>
      </w:r>
    </w:p>
    <w:p>
      <w:r>
        <w:t>Bei diesem Ausgang des Verfahrens hat der rund zur Hälfte obsiegende Beschwerdeführer die Gerichtskosten teilweise zu tragen (vgl. Art. 428 Abs. 1 StPO). Diese sind auf Fr 1'200.-- festzusetzen (Art. 73 Abs. 2 StBOG und die Art. 5 und 8 Abs. 1 des Reglements des Bundesstrafge-</w:t>
      </w:r>
    </w:p>
    <w:p>
      <w:r>
        <w:t>- 9 -</w:t>
      </w:r>
    </w:p>
    <w:p>
      <w:r>
        <w:t>richts vom 31. August 2010 über die Kosten, Gebühren und Entschädigun- gen in Bundesstrafverfahren, BStKR; SR 173.713.162).</w:t>
      </w:r>
    </w:p>
    <w:p>
      <w:r>
        <w:t>Die verschiedenen und weitgehend zeitgleich eingereichten Beschwerden, darunter die Vorliegende, wurden allesamt nach der ablehnenden Verfü- gung der BA vom 6. Februar 2013 angehoben. Sie konnten ihre Wirkung damit erst im Beschwerdeverfahren entfalten. Es rechtfertigt sich daher, mit Art. 428 Abs. 2 lit. a StPO dem Beschwerdeführer die Gerichtskosten zu zwei Dritteln, also im Betrage von Fr. 800.--, aufzuerlegen. Er hat Anspruch auf eine ebenso reduzierte Prozessentschädigung von Fr. 300.-- (vgl. Art. 429 Abs. 1 StPO). Diese ist von der Vorinstanz zu tragen (Art. 428 Abs. 4 StPO), wobei der notwendige Verteidiger des Strafverfahrens für seine Aufwendungen im vorliegenden Verfahren daraus mit Fr. 250.-- (inkl. MwSt.) zu entschädigen ist.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