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BB.2012.65 vom 29. Mai 2012</w:t>
      </w:r>
    </w:p>
    <w:p>
      <w:r>
        <w:t>Bundesstrafgericht, 2012-05-29, DE</w:t>
      </w:r>
    </w:p>
    <w:p>
      <w:r>
        <w:rPr>
          <w:b/>
        </w:rPr>
        <w:t xml:space="preserve">Quelle: </w:t>
      </w:r>
      <w:r>
        <w:t>https://mcp.opencaselaw.ch/entscheid/bstger_BB.2012.65</w:t>
      </w:r>
    </w:p>
    <w:p>
      <w:r>
        <w:t>FR: TPF BB.2012.65 du 29 mai 2012</w:t>
      </w:r>
    </w:p>
    <w:p>
      <w:r>
        <w:t>IT: TPF BB.2012.65 del 29 maggio 2012</w:t>
      </w:r>
    </w:p>
    <w:p>
      <w:pPr>
        <w:pStyle w:val="Heading2"/>
      </w:pPr>
      <w:r>
        <w:t>Regeste</w:t>
      </w:r>
    </w:p>
    <w:p>
      <w:r>
        <w:t>Akteneinsicht (Art. 101 f. i.V.m. Art. 107 Abs. 1 lit. a StPO).</w:t>
      </w:r>
    </w:p>
    <w:p>
      <w:pPr>
        <w:pStyle w:val="Heading2"/>
      </w:pPr>
      <w:r>
        <w:t>Erwägungen</w:t>
      </w:r>
    </w:p>
    <w:p>
      <w:r>
        <w:rPr>
          <w:b/>
        </w:rPr>
        <w:t>E. 31</w:t>
      </w:r>
    </w:p>
    <w:p>
      <w:r>
        <w:t>August 2010 über die Kosten, Gebühren und Entschädigungen in Bun- desstrafverfahren [BStKR, SR 173.713.162]);</w:t>
      </w:r>
    </w:p>
    <w:p>
      <w:r>
        <w:t>- 5 -</w:t>
      </w:r>
    </w:p>
    <w:p>
      <w:r>
        <w:t>und erkennt: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