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BB.2012.55 vom 30. Mai 2012</w:t>
      </w:r>
    </w:p>
    <w:p>
      <w:r>
        <w:t>Bundesstrafgericht, 2012-05-30, FR</w:t>
      </w:r>
    </w:p>
    <w:p>
      <w:r>
        <w:rPr>
          <w:b/>
        </w:rPr>
        <w:t xml:space="preserve">Quelle: </w:t>
      </w:r>
      <w:r>
        <w:t>https://mcp.opencaselaw.ch/entscheid/bstger_BB.2012.55</w:t>
      </w:r>
    </w:p>
    <w:p>
      <w:r>
        <w:t>FR: TPF BB.2012.55 du 30 mai 2012</w:t>
      </w:r>
    </w:p>
    <w:p>
      <w:r>
        <w:t>IT: TPF BB.2012.55 del 30 maggio 2012</w:t>
      </w:r>
    </w:p>
    <w:p>
      <w:pPr>
        <w:pStyle w:val="Heading2"/>
      </w:pPr>
      <w:r>
        <w:t>Regeste</w:t>
      </w:r>
    </w:p>
    <w:p>
      <w:r>
        <w:t>Gestion d'un compte sous séquestre (art. 266 al. 6 CPP).</w:t>
      </w:r>
    </w:p>
    <w:p>
      <w:pPr>
        <w:pStyle w:val="Heading2"/>
      </w:pPr>
      <w:r>
        <w:t>Erwägungen</w:t>
      </w:r>
    </w:p>
    <w:p>
      <w:r>
        <w:rPr>
          <w:b/>
        </w:rPr>
        <w:t>E. 1.1</w:t>
      </w:r>
    </w:p>
    <w:p>
      <w:r>
        <w:t>La Cour des plaintes examine d'office et en pleine cognition la recevabilité des recours qui lui sont adressés (ATF 133 I 206 consid. 2 p. 210; 132 I 140 consid. 1.1 p. 142; 131 I 153 consid. 1 p. 156; 131 II 571 consid. 1 p. 573).</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 lement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 Interjeté le 25 avril 2012, le présent recours a été déposé dans le délai de dix jours dès la notification du prononcé attaqué. Il a ainsi été for- mé en temps utile.</w:t>
      </w:r>
    </w:p>
    <w:p>
      <w:r>
        <w:rPr>
          <w:b/>
        </w:rPr>
        <w:t>E. 1.3</w:t>
      </w:r>
    </w:p>
    <w:p>
      <w:r>
        <w:t>Le recours est recevable à la condition que le recourant dispose d’un inté- rêt juridiquement protégé à l’annulation ou à la modification de la décision entreprise (art. 382 al. 1 CPP). Le recourant doit avoir subi une lésion, c’est-à-dire un préjudice causé par l’acte qu’il attaque et doit avoir un inté- rêt à l’élimination de ce préjudice (PIQUEREZ / MACALUSO, Procédure pénale suisse, 3è éd. Genève, Zurich, Bâle 2011, p. 632, n° 1911).</w:t>
      </w:r>
    </w:p>
    <w:p>
      <w:r>
        <w:t>S’agissant d’une mesure de séquestre d’un compte bancaire, seul le titulai- re du compte remplit en principe cette condition. Il en va de même lorsque le recours porte sur des opérations de gestion du compte en question (dé- cision du Tribunal pénal fédéral BB.2011.41 du 27 septembre 2011, consid. 1.3). Titulaire du compte objet de la mesure litigieuse, la recourante dispo- se ainsi de la qualité pour recourir.</w:t>
      </w:r>
    </w:p>
    <w:p>
      <w:r>
        <w:rPr>
          <w:b/>
        </w:rPr>
        <w:t>E. 1.4</w:t>
      </w:r>
    </w:p>
    <w:p>
      <w:r>
        <w:t>Partant, le recours est recevable.</w:t>
      </w:r>
    </w:p>
    <w:p>
      <w:r>
        <w:t>- 4 -</w:t>
      </w:r>
    </w:p>
    <w:p>
      <w:r>
        <w:rPr>
          <w:b/>
        </w:rPr>
        <w:t>E. 2.1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no 15 ad art. 393; KELLER, Kommentar zur Schweizerischen Strafprozessordnung [StPO], [Do- natsch/Hansjakob/Lieber, éd.], no 39 ad art. 393; SCHMID, Handbuch des schweizerischen Strafprozessrechts, Zurich, Saint-Gall 2009, no 1512).</w:t>
      </w:r>
    </w:p>
    <w:p>
      <w:r>
        <w:rPr>
          <w:b/>
        </w:rPr>
        <w:t>E. 2.2</w:t>
      </w:r>
    </w:p>
    <w:p>
      <w:r>
        <w:t>La recourante conteste, en substance, le bien fondé de la décision du MPC en indiquant que l'ayant droit économique des obligations concernées, client de la société, l'aurait instruite de procéder à la prolongation de l'in- vestissement y relatif. Elle indique au surplus que le séquestre du compte aurait été prononcé uniquement à titre conservatoire (vorsorgliche Konto- Sperrung) et que les droits de tiers, notamment de l'ayant droit économi- que, ne devraient pas en être atteints (act. 1).</w:t>
      </w:r>
    </w:p>
    <w:p>
      <w:r>
        <w:t>Dans la décision entreprise, le MPC souligne que l'opération demandée ne serait manifestement pas en conformité avec l'ordonnance sur le placement des valeurs patrimoniales séquestrées du 3 décembre 2010 (ci-après: l'Or- donnance sur les placements; RS.312.057; act. 1.1). Il précise en outre, dans le cadre de sa réponse au recours, que le prix réel de marché desdi- tes obligations ne pourrait en l'état être établi, de sorte qu'il ne subsisterait aucune garantie que celles-ci aient une quelconque valeur et que, dès lors, la substance des avoirs séquestrés puisse être conservée. Selon ladite au- torité, ce sera uniquement à l'échéance de l'emprunt obligataire, soit le 15 juin 2012, que cet élément pourra être établi (act. 3).</w:t>
      </w:r>
    </w:p>
    <w:p>
      <w:r>
        <w:rPr>
          <w:b/>
        </w:rPr>
        <w:t>E. 2.3</w:t>
      </w:r>
    </w:p>
    <w:p>
      <w:r>
        <w:t>Au 1er janvier 2011 est entrée en vigueur l’Ordonnance sur les placements susmentionnée. Adoptée par le Conseil fédéral conformément à l’art. 266 al. 4 CPP, elle codifie en fait, dans les grandes lignes, la Recommandation du 30 mars 1999 concernant la gestion de valeurs patrimoniales faisant l’objet d’une mesure de blocage adoptée par la Commission « Crime orga- nisé et criminalité économique » de la Conférence des chefs de départe- ments cantonaux de justice et police et l’Association suisse des banquiers (ci-après: La Recommandation) et qui était observée jusqu’alors par les au- torités de poursuite pénale helvétiques et les banques sises en Suisse (ar- rêt du Tribunal pénal fédéral BB.2010.92-94 du 27 avril 2011, consid. 4.1 et références citées). Contrairement à la Recommandation, l’Ordonnance sur les placements a désormais force contraignante (BOMMER/GOLDSCHMID, Commentaire bâlois, Schweizerische Strafprozessordnung, no 36 ad</w:t>
      </w:r>
    </w:p>
    <w:p>
      <w:r>
        <w:t>- 5 -</w:t>
      </w:r>
    </w:p>
    <w:p>
      <w:r>
        <w:t>art. 266). En son art. 1 l’Ordonnance sur les placements précise: « [d]ans toute la mesure du possible, les valeurs patrimoniales séquestrées sont placées de manière que le placement soit sûr, qu’elles ne se déprécient pas et qu’elles produisent un rendement. ». L’art. 2 définit les placements admis comme sûrs et propres à éviter une dépréciation pour les espèces, le produit et le rendement (Commentaire sur l’ordonnance sur le placement des valeurs patrimoniales séquestrées, Office fédéral de la justice); il spéci- fie notamment que «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jusqu’alors, selon la- quelle « les valeurs patrimoniales doivent être placées en vue d’être con- servées. On s’attachera au premier chef à maintenir la valeur réelle du ca- pital et à obtenir un rendement surtout par des revenus périodiques, c’est- à-dire un intérêt. Il n’est pas admissible de procéder à des placements spé- culatifs qui ne sont pas compatibles avec ce but » (BJP 2002 no 106; TPF 2009 31 consid. 2.6.2).</w:t>
      </w:r>
    </w:p>
    <w:p>
      <w:r>
        <w:rPr>
          <w:b/>
        </w:rPr>
        <w:t>E. 2.4</w:t>
      </w:r>
    </w:p>
    <w:p>
      <w:r>
        <w:t>En l'occurrence, le 29 décembre 2011, la banque a indiqué à l'autorité d'instruction que « […] la valeur des obligations sur le relevé de compte n'est mentionnée qu'à un prix indicatif […] » et qu'elle attendait sur ce point « […] des confirmations écrites du débiteur sur la valeur réelle de ces titres et sa capacité de rembourser […] » (v. procédure connexe BB.2012.52, act. 3.4). Rien au dossier ne permet d'obtenir des renseignements supplé- mentaires à ce sujet. La recourante ne fournit par ailleurs aucun détail permettant de répondre à ces interrogations. Dans une procédure connexe (BB.2012.52, act. 5 p. 3), la recourante indique que la société F. Ltd est une société du groupe appartenant à la famille de l'ayant droit économique du compte séquestré. Aucune information complémentaire n'est toutefois soumise à la Cour de céans quant à solvabilité du débiteur obligataire. Il apparaît ainsi que, comme le souligne le MPC, il n'est pas possible en l'état de déterminer la valeur des obligations concernées ainsi que la fiabilité de l'investissement proposé. L'unique modalité assurant la conservation cer- taine des avoirs est ainsi celle de laisser les obligations arriver à terme afin de disposer d'un capital fixe et déterminé.</w:t>
      </w:r>
    </w:p>
    <w:p>
      <w:r>
        <w:t>Au surplus, il ressort du Memorandum d'information produit par la recou- rante dans la procédure connexe susmentionnée (BB.2012.52, act. 5.3) que la prochaine émission rapportera un coupon de 10.5 % annuel. La dif- férence entre les taux d'intérêts moyens en vigueur dans le marché obliga- taire en AUD et le taux élevé proposé par le véhicule d'investissement en- visagé démontre à elle seule le caractère spéculatif du placement litigieux. Il n'apparaît ainsi pas possible de considérer celui-ci comme conforme aux</w:t>
      </w:r>
    </w:p>
    <w:p>
      <w:r>
        <w:t>- 6 -</w:t>
      </w:r>
    </w:p>
    <w:p>
      <w:r>
        <w:t>exigences conservatoires posées par l'Ordonnance (v. décision du Tribunal pénal fédéral BB.2011.41 du 27 septembre 2011, consid. 3.2).</w:t>
      </w:r>
    </w:p>
    <w:p>
      <w:r>
        <w:t>En définitive, c'est à bon escient que le MPC a refusé la reconduction de l'emprunt obligataire en examen, ce placement n'étant pas conservatoire.</w:t>
      </w:r>
    </w:p>
    <w:p>
      <w:r>
        <w:t>Le recours doit ainsi être rejeté.</w:t>
      </w:r>
    </w:p>
    <w:p>
      <w:r>
        <w:rPr>
          <w:b/>
        </w:rPr>
        <w:t>E. 3</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 ce à un émolument qui, en application des art. 5 et 8 al. 1 du Règlement du Tribunal pénal fédéral du 31 août 2010 sur les frais, émoluments, dépens et indemnités de la procédure fédérale (RFPPF; RS 173.713.162) sera fixé à CHF 1'200.--. Compte tenu de l'issue du recours, il ne sera pas alloué de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