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BB.2012.35 vom 27. April 2012</w:t>
      </w:r>
    </w:p>
    <w:p>
      <w:r>
        <w:t>Bundesstrafgericht, 2012-04-27, DE</w:t>
      </w:r>
    </w:p>
    <w:p>
      <w:r>
        <w:rPr>
          <w:b/>
        </w:rPr>
        <w:t xml:space="preserve">Quelle: </w:t>
      </w:r>
      <w:r>
        <w:t>https://mcp.opencaselaw.ch/entscheid/bstger_BB.2012.35</w:t>
      </w:r>
    </w:p>
    <w:p>
      <w:r>
        <w:t>FR: TPF BB.2012.35 du 27 avril 2012</w:t>
      </w:r>
    </w:p>
    <w:p>
      <w:r>
        <w:t>IT: TPF BB.2012.35 del 27 aprile 2012</w:t>
      </w:r>
    </w:p>
    <w:p>
      <w:pPr>
        <w:pStyle w:val="Heading2"/>
      </w:pPr>
      <w:r>
        <w:t>Regeste</w:t>
      </w:r>
    </w:p>
    <w:p>
      <w:r>
        <w:t>Ausstand der Bundesanwaltschaft (Art. 59 Abs. 1 lit. b i.V.m. Art. 56 StPO).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November 2011 erfolgte und deswegen als verspätet zu qualifizieren ist;</w:t>
      </w:r>
    </w:p>
    <w:p>
      <w:r>
        <w:t>- das Begehren um Wechsel der Verfahrenssprache bereits rechtskräftig mit Beschluss der Beschwerdekammer des Bundesstrafgerichts vom 1. März 2012 entschieden wurde (BB.2011.144);</w:t>
      </w:r>
    </w:p>
    <w:p>
      <w:r>
        <w:t>- nach dem Gesagten auf das Gesuch nicht einzutreten ist;</w:t>
      </w:r>
    </w:p>
    <w:p>
      <w:r>
        <w:t>- bei diesem Ausgang des Verfahrens die Gerichtskosten dem Gesuchsteller aufzuerlegen sind (Art. 428 Abs. 1 StPO);</w:t>
      </w:r>
    </w:p>
    <w:p>
      <w:r>
        <w:t>- die Gerichtsgebühr auf Fr. 500.-- festgesetzt wird (Art. 73 StBOG sowie Art. 5 und Art. 8 Abs. 1 des Reglements des Bundesstrafgerichts vom 31. August 2010 über die Kosten, Gebühren und Entschädigungen in Bun- desstrafverfahren, BStKR; SR 173.713.162).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