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BB.2012.32_B vom 13. November 2012</w:t>
      </w:r>
    </w:p>
    <w:p>
      <w:r>
        <w:t>Bundesstrafgericht, 2012-11-13, FR</w:t>
      </w:r>
    </w:p>
    <w:p>
      <w:r>
        <w:rPr>
          <w:b/>
        </w:rPr>
        <w:t xml:space="preserve">Quelle: </w:t>
      </w:r>
      <w:r>
        <w:t>https://mcp.opencaselaw.ch/entscheid/bstger_BB.2012.32_B</w:t>
      </w:r>
    </w:p>
    <w:p>
      <w:r>
        <w:t>FR: TPF BB.2012.32_B du 13 novembre 2012</w:t>
      </w:r>
    </w:p>
    <w:p>
      <w:r>
        <w:t>IT: TPF BB.2012.32_B del 13 novembre 2012</w:t>
      </w:r>
    </w:p>
    <w:p>
      <w:pPr>
        <w:pStyle w:val="Heading2"/>
      </w:pPr>
      <w:r>
        <w:t>Regeste</w:t>
      </w:r>
    </w:p>
    <w:p>
      <w:r>
        <w:t>Actes de procédure de la Cour des affaires pénales (art. 20 al. 1 let. a en lien avec l'art. 393 al. 1 let. b CPP). Rectification des prononcés (art. 83 CPP)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Une indemnité de CHF 700.--, TVA incluse, est allouée à A. et mise à la charge du Ministère public de la Confédération.</w:t>
      </w:r>
    </w:p>
    <w:p>
      <w:r>
        <w:t>2. La présente décision est rendue sans frais.</w:t>
      </w:r>
    </w:p>
    <w:p>
      <w:r>
        <w:t>Bellinzone, le 13 novembre 2012</w:t>
      </w:r>
    </w:p>
    <w:p>
      <w:r>
        <w:t>Au nom de la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Ministère public de la Confédération - Me Laurent Schuler, avocat - Tribunal pénal fédéral, Cour des affaires pénales</w:t>
      </w:r>
    </w:p>
    <w:p>
      <w:r>
        <w:t>Indication des voies de recours Il n'existe pas de voies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