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 vom 15. Mai 2012</w:t>
      </w:r>
    </w:p>
    <w:p>
      <w:r>
        <w:t>Bundesstrafgericht, 2012-05-15, FR</w:t>
      </w:r>
    </w:p>
    <w:p>
      <w:r>
        <w:rPr>
          <w:b/>
        </w:rPr>
        <w:t xml:space="preserve">Quelle: </w:t>
      </w:r>
      <w:r>
        <w:t>https://mcp.opencaselaw.ch/entscheid/bstger_BB.2012.3</w:t>
      </w:r>
    </w:p>
    <w:p>
      <w:r>
        <w:t>FR: TPF BB.2012.3 du 15 mai 2012</w:t>
      </w:r>
    </w:p>
    <w:p>
      <w:r>
        <w:t>IT: TPF BB.2012.3 del 15 maggio 2012</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t>S’agissant d’une mesure de séquestre d’un compte bancaire, seul le titulai- re du compte remplit en principe cette condition, à l’exclusion de l’ayant droit économique, lequel n’est qu’indirectement touché par la mesure de saisie (arrêt du Tribunal fédéral 1B_94/2012 du 2 avril 2012, consid. 2.1 in</w:t>
      </w:r>
    </w:p>
    <w:p>
      <w:r>
        <w:t>- 4 -</w:t>
      </w:r>
    </w:p>
    <w:p>
      <w:r>
        <w:t>fine; décision du Tribunal pénal fédéral BB.2011.10-11 du 18 mai 2011, consid. 1.5 et les références citées).</w:t>
      </w:r>
    </w:p>
    <w:p>
      <w:r>
        <w:t>Le recours est en l’espèce dirigé contre trois ordonnances de séquestre distinctes, dont une seule – soit celle adressée à la banque E. AG – a fina- lement eu pour effet la saisie d’un compte dont le recourant est le titulaire (v. supra let. C). Le recours n’est ainsi recevable qu’en tant qu’il est dirigé contre la saisie du compte no 1 ouvert auprès de la banque E. AG au nom du recourant, étant précisé que le statut de prévenu dont celui-ci se prévaut pour entreprendre l'ensemble des saisies prononcées ne lui est d'aucun secours, l'exigence d'un intérêt juridiquement protégé s'appliquant en effet à toutes les parties à la procédure, à l'exception du ministère public (arrêt du Tribunal fédéral 1B_94/2012 du 2 avril 2012, consid. 2.2; décision du Tribunal pénal fédéral BB.2012.1 du 12 janvier 2012, p. 3).</w:t>
      </w:r>
    </w:p>
    <w:p>
      <w:r>
        <w:rPr>
          <w:b/>
        </w:rPr>
        <w:t>E. 1.2</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 tions étant remplies en l’espèce, le recours est recevable dans la mesure précisée au considérant précédent.</w:t>
      </w:r>
    </w:p>
    <w:p>
      <w:r>
        <w:rPr>
          <w:b/>
        </w:rPr>
        <w:t>E. 2</w:t>
      </w:r>
    </w:p>
    <w:p>
      <w:r>
        <w:t>Dans un premier grief, d’ordre formel, le recourant se plaint d’une violation de son droit d’être entendu sous l’angle du droit à obtenir une décision mo- tivée (act. 1, p. 17 ss).</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w:t>
      </w:r>
    </w:p>
    <w:p>
      <w:r>
        <w:t>- 5 -</w:t>
      </w:r>
    </w:p>
    <w:p>
      <w:r>
        <w:t>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t>S’agissant plus particulièrement de la communication d’informations à des établissements bancaires dans le cadre de l’émission d’ordonnances de séquestre de comptes bancaires, c’est le lieu de rappeler que le Tribunal fédéral a eu l’occasion de définir précisément la portée de l’art. 29 al. 2 Cst. dans ce contexte. Dans un arrêt du 16 juillet 2002, la Haute Cour a posé le principe selon lequel, pour respecter le droit d’être entendu de la personne privée de la libre disposition de ses biens, une ordonnance de séquestre devait indiquer – de manière succincte – contre qui l’action pénale était en- gagée, quels étaient les faits poursuivis et, surtout, pour quelles raisons le séquestre devait être prononcé (arrêt du Tribunal fédéral 1A.95/2002 du 16 juillet 2002, consid. 3.3). Pareille solution a été reprise à l'art. 263 al. 2 1ère phrase CPP, lequel prévoit désormais expressément que "[l]e sé- questre est ordonné par voie d'ordonnance écrite, brièvement motivée" (v. LEMBO/JULEN BERTHOD, Commentaire romand, Code de procédure pé- nale suisse, no 35 ad art. 263, spéc. note de bas de page 71). Les exi- gences de motivation en matière de séquestre sont ainsi moindres que celles prévalant pour un jugement au fond (v. HEIMGARTNER, Strafprozes- suale Beschlagnahme, Zurich/Bâle/Genève 2011, p. 106 s.).</w:t>
      </w:r>
    </w:p>
    <w:p>
      <w:r>
        <w:rPr>
          <w:b/>
        </w:rPr>
        <w:t>E. 2.2</w:t>
      </w:r>
    </w:p>
    <w:p>
      <w:r>
        <w:t>En l’espèce, la décision entreprise mentionne les noms des deux prévenus visés par l’enquête du MPC, les faits poursuivis (blanchiment d'argent en Suisse; corruption et vente illégale d’actions en Russie), de même que les raisons pour lesquelles un séquestre devait être prononcé, à savoir le "soupçon que les valeurs patrimoniales se trouvant sur les comptes ban- caires et dépôts du prévenu aient été obtenues au moyen d’actes punis- sables" (act. 1.1).</w:t>
      </w:r>
    </w:p>
    <w:p>
      <w:r>
        <w:t>Force est ainsi de constater que les éléments exigés en lien avec la moti- vation d'une ordonnance de séquestre (v. supra consid. 2.1) se retrouvent bel et bien dans la décision entreprise. La motivation de cette dernière n’a d’ailleurs pas échappé au recourant qui, assisté d’un mandataire profes- sionnel, a été en mesure d’apprécier correctement sa portée et de l’attaquer à bon escient.</w:t>
      </w:r>
    </w:p>
    <w:p>
      <w:r>
        <w:t>Le grief tiré de la violation de l’obligation de motiver s’avère ainsi mal fondé.</w:t>
      </w:r>
    </w:p>
    <w:p>
      <w:r>
        <w:t>- 6 -</w:t>
      </w:r>
    </w:p>
    <w:p>
      <w:r>
        <w:rPr>
          <w:b/>
        </w:rPr>
        <w:t>E. 3</w:t>
      </w:r>
    </w:p>
    <w:p>
      <w:r>
        <w:t>A l’appui de son second grief, le recourant reproche en substance au MPC d’avoir abusé de son pouvoir d’appréciation et de s’être livré à une "consta- tation incomplète/erronée de la situation" (act. 1, p. 19) en retenant que les conditions du prononcé d’un séquestre de ses avoirs seraient réalisées.</w:t>
      </w:r>
    </w:p>
    <w:p>
      <w:r>
        <w:rPr>
          <w:b/>
        </w:rPr>
        <w:t>E. 3.1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(ATF 124 IV 313 consid. 4; TPF 2005 84 consid. 3.1.2; arrêt du Tribu- nal pénal fédéral BB.2005.42 du 14 septembre 2005, consid. 2.1; HEIM- GARTNER, op. cit., p. 125 ss). Pour que le maintien du séquestre pendant une période prolongée se justifie, il importe que ces présomptions se ren- forcent en cours d’enquête et que l’existence d’un lien de causalité adéquat entre les valeurs saisies et les actes délictueux puisse être considérée comme hautement vraisemblable (ATF 122 IV 91 consid. 4; OBERHOLZER, Grundzüge des Strafprozessrechts, 2e éd., Berne 2005, no 1139). La mesu- 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w:t>
      </w:r>
    </w:p>
    <w:p>
      <w:r>
        <w:rPr>
          <w:b/>
        </w:rPr>
        <w:t>E. 3.2.1</w:t>
      </w:r>
    </w:p>
    <w:p>
      <w:r>
        <w:t>Selon le MPC, et en substance, il existerait au stade actuel de l’enquête di- rigée notamment contre le recourant, des soupçons suffisants selon les- quels le compte no 1 dont ce dernier est titulaire auprès de la banque E. AG, abriterait des valeurs patrimoniales résultant d’opérations de blan- chiment d’argent au sens de l’art. 305bis CP (act. 4, p. 3 ss).</w:t>
      </w:r>
    </w:p>
    <w:p>
      <w:r>
        <w:t>Le MPC soupçonne en effet le recourant en personne de s’être rendu cou- pable de malversations alors qu’il occupait un poste de dirigeant de la ban- que B. Pour étayer ses soupçons, le MPC se fonde principalement sur le</w:t>
      </w:r>
    </w:p>
    <w:p>
      <w:r>
        <w:t>- 7 -</w:t>
      </w:r>
    </w:p>
    <w:p>
      <w:r>
        <w:t>résultat de deux commissions rogatoires adressées aux autorités russes (act. 12.3). Selon les informations dont dispose à ce stade l’autorité de poursuite, le recourant, alors président de la banque B., aurait dès la fin de l’année 2008, et de concert avec le vice-président de ladite banque – le dénommé F., également poursuivi –, mis en place un système d’octroi de crédits à des clients de complaisance; pareil mécanisme leur aurait permis de détourner et de s’approprier des sommes très importantes (près de</w:t>
      </w:r>
    </w:p>
    <w:p>
      <w:r>
        <w:rPr>
          <w:b/>
        </w:rPr>
        <w:t>E. 3.2.2</w:t>
      </w:r>
    </w:p>
    <w:p>
      <w:r>
        <w:t>A la lumière des éléments récoltés par le MPC à ce stade, force est d’admettre qu’il existe – en l’état – des indices suffisants permettant de suspecter que les valeurs patrimoniales saisies sur le compte du recourant sont le produit des infractions dont il est soupçonné de s’être rendu coupa- ble en Russie. Il sied d’insister ici sur le fait que les investigations du MPC ouvertes le 12 juillet 2011 contre F. (v. supra consid. 3.2.1), et étendues au recourant le 10 octobre suivant (v. supra let. A), se trouvent encore dans une phase qu’il convient de qualifier d’initiale (v. TPF 2010 22 consid. 2.2.2 et 2.2.3 in fine). Dans le cadre de procédures complexes portant sur des soupçons de criminalité économique transfrontalière mettant aux prises de nombreux acteurs – parmi lesquels plusieurs sociétés –, et nécessitant la collaboration étrangère par la voie de l’entraide, il tombe sous le sens que les soupçons initiaux présidant à l’ouverture d’une enquête peuvent mettre un certain temps à se concrétiser. A cet égard, l’autorité de poursuite doit</w:t>
      </w:r>
    </w:p>
    <w:p>
      <w:r>
        <w:t>- 8 -</w:t>
      </w:r>
    </w:p>
    <w:p>
      <w:r>
        <w:t>pouvoir être en mesure d’analyser la documentation en sa possession et prendre les mesures d’instruction qui s’imposent pour confirmer, respecti- vement infirmer l’existence du soupçon initial. En l’espèce, le MPC a agi sans désemparer, en requérant notamment par deux fois la coopération des autorités russes. Il a par ailleurs procédé à la saisie de plusieurs rela- tions bancaires en lien avec le recourant, afin de tenter d’éclaircir l’arrière- plan économique de la structure financière mise en place par ce dernier. L’analyse de la documentation est en cours, des compléments d’informations étant encore attendus en provenance de Russie (act. 9). Il n’y a pas lieu de douter que le MPC prendra les mesures qui s’imposent en fonction du résultat de ses analyses, comme cela a déjà été le cas dans le cadre des présentes investigations (v. arrêt du Tribunal pénal fédéral BB.2012.17 du 17 avril 2012). Cela étant précisé, il apparaît pour le surplus que, sous l’angle de la proportionnalité, le montant saisi sur le compte du recourant – soit USD 192’444.26 au 22 décembre 2011 (act. 1.24) – de- meure largement en deçà du montant total que le mécanisme frauduleux auquel il est soupçonné d’avoir pris part en Russie aurait permis de détour- ner (v. supra let. A in fine).</w:t>
      </w:r>
    </w:p>
    <w:p>
      <w:r>
        <w:t>Sur le vu de l’ensemble des éléments qui précèdent, il apparaît que la me- sure de séquestre visant le compte no 1 dont le recourant est titulaire au- près de la banque E. AG, repose sur des soupçons suffisants, d'une part, et n’est – à ce stade de l’enquête – pas disproportionnée tant quant à son principe que du point de vue de sa durée, d'autre part. Au vu de la gravité des actes potentiellement répréhensibles, elle répond au surplus à l’intérêt public.</w:t>
      </w:r>
    </w:p>
    <w:p>
      <w:r>
        <w:t>4. Les considérants qui précèdent conduisent au rejet du recours, et ce dans la mesure où il est recevable.</w:t>
      </w:r>
    </w:p>
    <w:p>
      <w:r>
        <w:t>5.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Fr. 1’500.--.</w:t>
      </w:r>
    </w:p>
    <w:p>
      <w:r>
        <w:t>- 9 -</w:t>
      </w:r>
    </w:p>
    <w:p>
      <w:r>
        <w:rPr>
          <w:b/>
        </w:rPr>
        <w:t>E. 8</w:t>
      </w:r>
    </w:p>
    <w:p>
      <w:r>
        <w:t>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SJ 1994 p. 97, 102).</w:t>
      </w:r>
    </w:p>
    <w:p>
      <w:r>
        <w:rPr>
          <w:b/>
        </w:rPr>
        <w:t>E. 13</w:t>
      </w:r>
    </w:p>
    <w:p>
      <w:r>
        <w:t>milliards de roubles). Ces faits font l’objet d’une enquête référencée no 2 par le Département du Ministère de l’intérieur de la Fédération de Russie (act. 12.3, p. 1), dont le détail des soupçons – et en particulier le schéma de détournement de fonds reprochés aux prévenus – est explicité par les autorités russes dans leur réponse à la commission rogatoire helvétique (act. 12.3, p. 2).</w:t>
      </w:r>
    </w:p>
    <w:p>
      <w:r>
        <w:t>Par ailleurs, le recourant fait l’objet d’une seconde enquête par les autorités russes, et ce toujours en lien avec son activité au sein de la banque B. Ré- férencée no 3, elle porte sur des soupçons d’abus de confiance commis lors d’opérations d’achat et de vente d’actions pour le compte de la banque B. (act. 12.3, p. 7 ss). Ces actes seraient susceptibles d’avoir causé un dommage de plus de 1,5 milliard de roubles aux actionnaires de la banque B. (act. 12.3, p. 16). Le détail des faits reprochés figure également dans la réponse des autorités russes à la commission rogatoire suisse (act. 12.3, p. 7 ss).</w:t>
      </w:r>
    </w:p>
    <w:p>
      <w:r>
        <w:t>Dans le cadre de ses investigations en Suisse, le MPC a mis à jour le fait que le recourant dispose en Suisse d’un nombre important de relations bancaires dont il est l’ayant droit économique, respectivement le titulaire.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