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BB.2012.196 vom 14. März 2013</w:t>
      </w:r>
    </w:p>
    <w:p>
      <w:r>
        <w:t>Bundesstrafgericht, 2013-03-14, FR</w:t>
      </w:r>
    </w:p>
    <w:p>
      <w:r>
        <w:rPr>
          <w:b/>
        </w:rPr>
        <w:t xml:space="preserve">Quelle: </w:t>
      </w:r>
      <w:r>
        <w:t>https://mcp.opencaselaw.ch/entscheid/bstger_BB.2012.196</w:t>
      </w:r>
    </w:p>
    <w:p>
      <w:r>
        <w:t>FR: TPF BB.2012.196 du 14 mars 2013</w:t>
      </w:r>
    </w:p>
    <w:p>
      <w:r>
        <w:t>IT: TPF BB.2012.196 del 14 marzo 2013</w:t>
      </w:r>
    </w:p>
    <w:p>
      <w:pPr>
        <w:pStyle w:val="Heading2"/>
      </w:pPr>
      <w:r>
        <w:t>Regeste</w:t>
      </w:r>
    </w:p>
    <w:p>
      <w:r>
        <w:t>Désignation d'un défenseur d'office pour indigence (art. 132 al. 1 let. b en lien avec l'art. 133 CPP). Actes de procédure du Ministère public de la Confédération (art. 20 al. 1 let. b en lien avec l'art. 393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i.f.; STEPHENSON/THIRIET, Com- mentaire bâlois, Schweizerische Strafprozessordnung, no 15 ad art. 393; KELLER, Kommentar zur Schweizerischen Strafprozessordnung [StPO], [Donatsch/Hansjakob/Lieber, éd.], no 39 ad art. 393; SCHMID, Handbuch des schweizerischen Strafprozessrechts,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19 décembre 2012 à l'encontre d'une décision datée du 12 décembre 2012 et notifiée à la recourante le 14 décembre 2012, le re- cours a été formé en temps utile.</w:t>
      </w:r>
    </w:p>
    <w:p>
      <w:r>
        <w:rPr>
          <w:b/>
        </w:rPr>
        <w:t>E. 1.3</w:t>
      </w:r>
    </w:p>
    <w:p>
      <w:r>
        <w:t>Le recours est recevable à la condition que le recourant dispose d'un inté- rêt juridiquement protégé à l'annulation ou à la modification de la décision entreprise (art. 382 al. 1 CPP). S'agissant du rejet de la demande de dési- gnation d'un défenseur d'office et d'assistance judiciaire, la légitimation de la recourante est patente (cf. décision du Tribunal pénal fédéral BB.2011.129 du 26 janvier 2012, consid. 1.2).</w:t>
      </w:r>
    </w:p>
    <w:p>
      <w:r>
        <w:rPr>
          <w:b/>
        </w:rPr>
        <w:t>E. 1.4</w:t>
      </w:r>
    </w:p>
    <w:p>
      <w:r>
        <w:t>Le recours (act. 1) porte sur l'octroi de l'assistance judiciaire à la recourante et la désignation d'un conseil d'office; l'ordonnance querellée (act. 1.1) est intitulée "désignation d'un défenseur d'office". Tant les considérants de la décision que les allégués du recours ne portent que sur la question de l'as- sistance judiciaire. Il y a lieu de rappeler que défense d'office et assistance judiciaire sont deux notions indépendantes et que l'octroi de l'une n'entraî- ne pas automatiquement la mise au bénéfice de l'autre (HARARI/ALIBERTI, Commentaire romand CPP, n° 9 ad art. 132 CPP). En l'occurrence, étant incontesté que l'affaire nécessite une défense obligatoire tant du fait de la détention provisoire subie (art. 130 let. a CPP) que de la peine encourue</w:t>
      </w:r>
    </w:p>
    <w:p>
      <w:r>
        <w:t>- 4 -</w:t>
      </w:r>
    </w:p>
    <w:p>
      <w:r>
        <w:t>(art. 130 let. b CPP), le conseil privé actuel de la recourante peut demander sa nomination d'office et l'assistance judiciaire pour sa cliente; si l'octroi de la seconde entraîne automatiquement celui de la première (HARA- RI/ALIBERTI, op. cit., n° 28 ad art. 132 CPP), la première peut être ordonnée quand bien même la seconde serait rejetée. Par conséquent, il convient d'examiner séparément les deux griefs.</w:t>
      </w:r>
    </w:p>
    <w:p>
      <w:r>
        <w:rPr>
          <w:b/>
        </w:rPr>
        <w:t>E. 1.5</w:t>
      </w:r>
    </w:p>
    <w:p>
      <w:r>
        <w:t>Les autres conditions énoncées supra (consid. 1.2) étant en l'espèce réali- sées, le recours est partant recevable.</w:t>
      </w:r>
    </w:p>
    <w:p>
      <w:r>
        <w:rPr>
          <w:b/>
        </w:rPr>
        <w:t>E. 2</w:t>
      </w:r>
    </w:p>
    <w:p>
      <w:r>
        <w:t>mars 2012, p. 6, l. 22 ss). Elle conteste être propriétaire des avoirs de la société (act. 1, p. 5). Elle fournit des explications lacuneuses quant à sa participation et à de nombreux voyages peu compatibles avec son train de vie apparent (dossier MPC, rubrique 13, audition du 2 mars 2012, p. 7, l. 31 ss), ainsi qu'à des mouvements d'argent importants vers et depuis la Suis- se par l'intermédiaire de l'agence D. (dossier MPC, rubrique 13, audition du 25 avril 2012, p. 10, l. 24 ss). Il ressort des pièces produites à l'appui de sa demande d'assistance judiciaire au MPC (act. 3.3) que ni les œuvres socia- les de la ville de Z. (Suisse) ni le fisc n'étaient au courant des activités de la recourante aux Seychelles et des mouvements de capitaux susmentionnés.</w:t>
      </w:r>
    </w:p>
    <w:p>
      <w:r>
        <w:t>En conséquence, c'est à raison que le MPC considère que la recourante n'a pas donné une image complète et cohérente de sa situation financière, manqué à son devoir de collaboration (arrêt du Tribunal fédéral 1B_119/2008 du 2 octobre 2008, consid. 6) et échoué ainsi à faire la preu- ve de son indigence. Enfin, force est de constater que la recourante n'a pas jugé bon de requérir l'assistance judiciaire gratuite dans la procédure de recours, choix en contraction avec son impécuniosité alléguée. Par consé- quent, le recours est rejeté sur ce point.</w:t>
      </w:r>
    </w:p>
    <w:p>
      <w:r>
        <w:rPr>
          <w:b/>
        </w:rPr>
        <w:t>E. 2.1</w:t>
      </w:r>
    </w:p>
    <w:p>
      <w:r>
        <w:t>Toute personne qui ne dispose pas des ressources suffisantes a droit, à moins que sa cause paraisse dépourvue de toutes chances de succès, à l'assistance judiciaire gratuite. Elle a en outre droit à l'assistance gratuite d'un défenseur, dans la mesure où la sauvegarde de ses droits le requiert (art. 29 al. 3 Cst.). Doctrine et jurisprudence s'accordent à considérer que la partie qui requiert l'assistance judiciaire a le devoir de fournir toutes les indications nécessaires, preuves à l'appui, à la détermination de ses reve- nus, ainsi que sa fortune, et que celles-ci doivent donner une image fidèle et complète de toutes les obligations financières, des revenus et de la for- tune du requérant (ATF 125 IV 161 consid. 4a).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décision du Tribunal pénal fédéral BB.2011.129 du 26 janvier 2012, consid. 2.4; cf. également BÜHLER , Die Prozessarmut, in SCHÖBI (éd.), Gerichtskosten, Parteikosten, Prozesskau- tion, unentgeltliche Prozessführung, Berne 2001, p. 189 ss).</w:t>
      </w:r>
    </w:p>
    <w:p>
      <w:r>
        <w:rPr>
          <w:b/>
        </w:rPr>
        <w:t>E. 2.2</w:t>
      </w:r>
    </w:p>
    <w:p>
      <w:r>
        <w:t>Alors que la recourante demande que lui soit désigné un défenseur d'office en arguant de son impécuniosité (act. 1, par. 4 ss; act. 3.3), le MPC refuse de donner droit à cette demande au motif qu'elle n'a pas donné de rensei- gnements exhaustifs quant à sa situation financière et disposerait en outre de fonds lui permettant d'assurer ses frais de défense (act. 1.1).</w:t>
      </w:r>
    </w:p>
    <w:p>
      <w:r>
        <w:t>Il ressort du dossier de la cause que l'enquête du MPC a débuté suite à la communication, par les autorités des Seychelles, de mouvements suspects sur un compte au nom de B. Gmbh auprès de la banque C. aux Seychel- les, notamment de deux versements des 1 et 2 novembre 2011 (dossier MPC, rubrique 13, audition du 31 janvier 2012, p. 3, l. 17 ss) d'un montant total de EUR 2,5 mio environ. Le sort actuel de ladite somme est incertain, la recourante affirmant que le compte susdit fait l'objet d'un blocage par les</w:t>
      </w:r>
    </w:p>
    <w:p>
      <w:r>
        <w:t>- 5 -</w:t>
      </w:r>
    </w:p>
    <w:p>
      <w:r>
        <w:t>autorités des Seychelles, le MPC indiquant que l'accès de la recourante auxdits avoirs ne peut être actuellement exclu faute de renseignements précis au sujet du séquestre en question (act. 5, p. 3), respectivement que ces avoirs auraient été débloqués entretemps sur intervention du demi- frère de la recourante (act. 8).</w:t>
      </w:r>
    </w:p>
    <w:p>
      <w:r>
        <w:t>Interrogée, la recourante, qui vit des œuvres sociales (act. 3.3), a dans un premier temps reconnu en substance que la société B. Gmbh aux Seychel- les est la sienne, qu'elle est la seule à avoir la signature sur le compte de la société auprès de la banque C., que beaucoup d'argent est arrivé sur ce compte et que de l'argent en est aussi sorti (dossier MPC, rubrique 13, au- dition du 30 novembre 2011, p. 3, l. 14 ss). En revanche, elle n'a pas fourni d'explications précises quant à la société B. Gmbh, à ses activités et à son rôle dans celle-ci (cf. notamment dossier MPC, rubrique 13, audition du</w:t>
      </w:r>
    </w:p>
    <w:p>
      <w:r>
        <w:rPr>
          <w:b/>
        </w:rPr>
        <w:t>E. 3</w:t>
      </w:r>
    </w:p>
    <w:p>
      <w:r>
        <w:t>L'art. 132 al. 1 let. a CPP exige la nomination d'un défenseur d'office dans la situation présente de défense obligatoire (voir supra, consid. 1.4), soit que le prévenu ne désigne pas de défenseur privé malgré l'invitation du MPC (ch. 1), soit que le mandataire privé perde ou n'accepte pas son man- dat et que le prévenu n'en indique pas un nouveau (ch. 2). Ces deux condi- tions ne sont manifestement pas réunies à ce stade, si bien que le recours doit être rejeté sur ce point également.</w:t>
      </w:r>
    </w:p>
    <w:p>
      <w:r>
        <w:t>- 6 -</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est fixé à CHF 1'500.-- à la charge de la re- 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