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BB.2012.195 vom 13. Juni 2013</w:t>
      </w:r>
    </w:p>
    <w:p>
      <w:r>
        <w:t>Bundesstrafgericht, 2013-06-13, FR</w:t>
      </w:r>
    </w:p>
    <w:p>
      <w:r>
        <w:rPr>
          <w:b/>
        </w:rPr>
        <w:t xml:space="preserve">Quelle: </w:t>
      </w:r>
      <w:r>
        <w:t>https://mcp.opencaselaw.ch/entscheid/bstger_BB.2012.195</w:t>
      </w:r>
    </w:p>
    <w:p>
      <w:r>
        <w:t>FR: TPF BB.2012.195 du 13 juin 2013</w:t>
      </w:r>
    </w:p>
    <w:p>
      <w:r>
        <w:t>IT: TPF BB.2012.195 del 13 giugno 2013</w:t>
      </w:r>
    </w:p>
    <w:p>
      <w:pPr>
        <w:pStyle w:val="Heading2"/>
      </w:pPr>
      <w:r>
        <w:t>Regeste</w:t>
      </w:r>
    </w:p>
    <w:p>
      <w:r>
        <w:t>Séquestre (art. 263 ss CPP). Récusation de l'ensemble des juges de la Cour des plaintes (art. 59 al. 1 let. c en lien avec l'art. 56 CPP).</w:t>
      </w:r>
    </w:p>
    <w:p>
      <w:pPr>
        <w:pStyle w:val="Heading2"/>
      </w:pPr>
      <w:r>
        <w:t>Erwägungen</w:t>
      </w:r>
    </w:p>
    <w:p>
      <w:r>
        <w:rPr>
          <w:b/>
        </w:rPr>
        <w:t>E. 1</w:t>
      </w:r>
    </w:p>
    <w:p>
      <w:r>
        <w:t>Dans son recours, la recourante a demandé la récusation pour prévention de l'ensemble des juges de la première Cour des plaintes (act. 1); dans sa réplique, elle a déclaré laisser à la Cour le soin d'appliquer « die notwendi- ge Hygienebestimmungen » et de déterminer « aus eigenem Gewissen und Ethik und Moral das zuständige Richtergremium » (act. 8, par. B). En conséquence, la Cour prend acte que la recourante a retiré sa demande de récusation; si elle avait été maintenue, il y aurait eu lieu de s'inspirer des décisions prises dans la même cause (BB.2011.71 du 11 juillet 2011 et BB.2012.178 du 20 décembre 2012) et de l'arrêt du Tribunal fédéral 1B_776/2012 du 1er février 2013, consid. 2.1, qui disent et confirment qu’un tribunal dont la récusation est demandée en bloc peut écarter lui-même la requête lorsque celle-ci est abusive ou manifestement mal fondée (ATF 129 III 445 consid. 4.2.2; arrêt du Tribunal fédéral 1B_262/2007 du 22 novembre 2007, consid. 1; arrêt du Tribunal pénal fédéral BB.2008.57 du 11 août 2008, p. 2), qu’une demande de récusation d’une autorité collé- giale « en bloc » est en principe irrecevable (SCHMID, Handbuch des schweizerischen Strafprozessrechts, Zurich/Saint-Gall 2009, no 523 note de bas de page 305) et que, si une partie de la doctrine admet néanmoins qu’une telle demande puisse, le cas échéant, être considérée comme vi- sant individuellement chaque membre du collège concerné, elle doit en tout état de cause contenir une motivation spécifique à cet égard (cf. BOOG, Commentaire bâlois, Schweizerische Strafprozessordnung, no 2 ad art. 58). A défaut de ces trois critères, la demande telle que formulée par la recou- rante dans son recours était manifestement irrecevable.</w:t>
      </w:r>
    </w:p>
    <w:p>
      <w:r>
        <w:rPr>
          <w:b/>
        </w:rPr>
        <w:t>E. 2</w:t>
      </w:r>
    </w:p>
    <w:p>
      <w:r>
        <w:t>Les décisions du MPC peuvent faire l'objet d'un recours devant la Cour de céans (art. 393 al. 1 let. a CPP et 37 al. 1 LOAP en lien avec l’art. 19 al.1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Ces conditions étant remplies en l’espèce, le recours est recevable.</w:t>
      </w:r>
    </w:p>
    <w:p>
      <w:r>
        <w:t>- 5 -</w:t>
      </w:r>
    </w:p>
    <w:p>
      <w:r>
        <w:rPr>
          <w:b/>
        </w:rPr>
        <w:t>E. 3</w:t>
      </w:r>
    </w:p>
    <w:p>
      <w:r>
        <w:t>La recourante conteste le bien-fondé de la mesure de séquestre frappant son compte auprès de la banque M.</w:t>
      </w:r>
    </w:p>
    <w:p>
      <w:r>
        <w:rPr>
          <w:b/>
        </w:rPr>
        <w:t>E. 3.1</w:t>
      </w:r>
    </w:p>
    <w:p>
      <w:r>
        <w:t>En tant qu’autorité de recours, la Cour des plaintes examine avec plein pouvoir de cognition en fait et en droit les recours qui lui sont soumis (cf. Message relatif à l’unification du droit de la procédure pénale du 21 décembre 2005, FF 2006 1057, 1296 in fine; STEPHENSON/THIRIET, Commentaire bâlois, Schweizerische Strafprozessordnung, no 15 ad art. 393; KELLER, Kommentar zur Schweizerischen Strafprozessordnung [StPO], [Donatsch/Hansjakob/Lieber, éd.], no 39 ad art. 393; SCHMID, Handbuch des schweizerischen Strafprozessrechts, Zurich/Saint-Gall 2009, no 1512).</w:t>
      </w:r>
    </w:p>
    <w:p>
      <w:r>
        <w:rPr>
          <w:b/>
        </w:rPr>
        <w:t>E. 3.2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 d’enquête et que l’existence d’un lien de causalité adéquat entre les va- leurs saisies et les actes délictueux puisse être considérée comme haute- ment vraisemblable (ATF 122 IV 91 consid. 4; OBERHOLZER, Grundzüge des Strafprozessrechts, 2e éd., Berne 2005, no 1139). La mesure doit par ailleurs, à l’instar de toute mesure de contrainte, reposer sur une base lé- 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w:t>
      </w:r>
    </w:p>
    <w:p>
      <w:r>
        <w:rPr>
          <w:b/>
        </w:rPr>
        <w:t>E. 3.3</w:t>
      </w:r>
    </w:p>
    <w:p>
      <w:r>
        <w:t>Par décision BB.2011.94 du 15 novembre 2011, la Cour de céans avait dé- jà été amenée à statuer sur le séquestre contesté. A l'époque, elle avait te-</w:t>
      </w:r>
    </w:p>
    <w:p>
      <w:r>
        <w:t>- 6 -</w:t>
      </w:r>
    </w:p>
    <w:p>
      <w:r>
        <w:t>nu pour acquis que D. avait établi, en date du 31 août 2007, un formulaire A indiquant N. – alias de K. (cf. act. 4.1, p. 6) – comme ayant droit écono- mique du compte séquestré, puis qu'un versement de USD 12.9 mio était intervenu sur le compte en date du 7 septembre 2007 à partir d’un compte ayant été approvisionné au préalable, selon les analyses menées par le CCEF, par des avoirs provenant des présumées infractions perpétrées par K. (procédure BB.2011.72, act. 8.6, p. 47 ss et 51-52). Ce même montant avait été par la suite fait l’objet d’un retrait en espèces afin d’être reversé, le même jour, sur un autre compte dont K., au travers de sa fausse identité, était l’ayant droit économique (procédure BB.2011.72, act. 8.6, p. 51-52). En substance, la Cour avait dit que, d'une part, la licéïté de ce transfert et du retrait en espèce subséquent étaient de nature à justifier les soupçons du MPC; d'autre part, la recourante n'avait avancé aucune justification pro- bante à l'appui de ces opérations (décision du Tribunal pénal fédéral BB.2011.94, consid. 2.3 et 2.4). Par conséquent elle avait confirmé le sé- questre, rappelant ses décisions BB.2010.62-63 du 14 janvier 2011, BB.2011.72 du 12 octobre 2011 et BB.2011.61 du 25 octobre 2011 et indi- quant que les enquêtes du MPC devraient activement et rapidement dé- terminer précisément le contexte factuel permettant de concrétiser et étayer, pièces à l’appui, les soupçons existant quant à la réalité du crime préalable commis aux Etats-Unis.</w:t>
      </w:r>
    </w:p>
    <w:p>
      <w:r>
        <w:rPr>
          <w:b/>
        </w:rPr>
        <w:t>E. 3.4</w:t>
      </w:r>
    </w:p>
    <w:p>
      <w:r>
        <w:t>Tandis que la décision querellée renvoie à la décision de séquestre origi- naire, la réplique du MPC présente l'état des investigations états-uniennes en ce qui concerne K., alias N. Une demande d'entraide pénale des Etats- Unis à la Suisse, actuellement pendante, indique que le parquet fédéral américain enquête sur des fraudes massives imputées à K. et al. (act. 4). Par décision du 8 novembre 2012 (act. 4.2), l'Office fédéral de la justice est entrée en matière sur la demande d'entraide des Etats-Unis, considérant que les faits reprochés à K. et consorts étaient susceptibles de tomber sous le coup de l'escroquerie (art. 146 CP), de la manipulation de cours (art. 161bis CP) et du blanchiment d'argent (art. 305bis CP). Au surplus, il est notoire qu'en mars 2013, K. a été appréhendé par les autorités italiennes sur mandat des autorités américaines en vue de son extradition.</w:t>
      </w:r>
    </w:p>
    <w:p>
      <w:r>
        <w:rPr>
          <w:b/>
        </w:rPr>
        <w:t>E. 3.5</w:t>
      </w:r>
    </w:p>
    <w:p>
      <w:r>
        <w:t>Dans son recours (act. 1, par. 18-28), signé par D. au nom de A. AG, la re- courante se borne à faire part de son appréciation de l'avancement du dos- sier et critique la décision de séquestre au motif que D. et A. AG sont des entités distinctes et que A. AG n'est pas titulaire du compte séquestré. En revanche, elle n'apporte aucun élément factuel nouveau ni ne s'exprime sur les faits et moyens du MPC. De plus, le recours et la réplique, signée par un tiers et dont la Cour a demandé expressément la confirmation à A. AG</w:t>
      </w:r>
    </w:p>
    <w:p>
      <w:r>
        <w:t>- 7 -</w:t>
      </w:r>
    </w:p>
    <w:p>
      <w:r>
        <w:t>(act. 7), présentent des contradictions manifestes, la dernière indiquant que le recours contient des erreurs, le compte séquestré appartenant bien à A. AG (act. 8, par. A).</w:t>
      </w:r>
    </w:p>
    <w:p>
      <w:r>
        <w:rPr>
          <w:b/>
        </w:rPr>
        <w:t>E. 3.6</w:t>
      </w:r>
    </w:p>
    <w:p>
      <w:r>
        <w:t>Vu ce qui précède et compte tenu des décisions déjà rendues au sujet du compte séquestré, il apparaît comme établi que D. a rédigé un formulaire A au nom d'un pseudonyme de K. sur le compte séquestré, que peu de temps après des fonds issus de l'édifice financier établi par K. et consorts ont abouti sur ce compte, que quelques jours plus tard ces fonds – USD 12,9 mio – ont été retirés en liquide pour être versés sur un autre compte dont K. était l'ayant-droit économique. Le soupçon que ces opéra- tions servaient des fins de blanchiment paraît ainsi fondé à suffisance. Le fait que D. était au surplus administrateur de A. AG suffit également à tenir pour fondé le soupçon de confusion, quel qu'en soit le titre, entre ses inté- rêts et ceux de la société.</w:t>
      </w:r>
    </w:p>
    <w:p>
      <w:r>
        <w:rPr>
          <w:b/>
        </w:rPr>
        <w:t>E. 3.7</w:t>
      </w:r>
    </w:p>
    <w:p>
      <w:r>
        <w:t>Certes, les USD 12,9 mio ne figurent plus au crédit du compte séquestré. Nonobstant, selon l’art. 71 al. 1 CP, lorsque les valeurs patrimoniales à confisquer ne sont plus disponibles, le juge ordonne leur remplacement par une créance compensatrice de l’Etat d’un montant équivalent. L’alinéa 3 du même article dispose de plus que l’autorité d’instruction peut placer sous séquestre, en vue de l’exécution d’une créance compensatrice, des valeurs patrimoniales appartenant à la personne concernée. La créance compen- satrice est subsidiaire à la confiscation de valeurs patrimoniales de l’art. 70 CP (HIRSIG-VOUILLOZ, Commentaire romand, n° 1 ad art. 71 CP). En raison de ce caractère subsidiaire, la créance compensatrice ne peut être ordonnée que si, dans l’hypothèse où les valeurs patrimoniales prove- nant de l’infraction auraient été disponibles, la confiscation eût été pronon- cée (arrêt du Tribunal fédéral 1B_185/2007 du 30 novembre 2007, consid. 10.1). La créance compensatrice est ainsi soumise aux mêmes conditions que la confiscation (HIRSIG-VOUILLOZ, Confiscation pénale et créance compensatrice – art. 69 à 72 CP –, in Jusletter du 8 janvier 2007). Entrent en considération comme fondement d’une créance compensatrice, autant les délits constituant la cause directe de l’avantage illicite, que les in- fractions secondaires comme le recel ou le blanchiment d’argent (ATF 125 IV 4 consid. 2). Le montant de la créance compensatrice doit être fixé à la valeur des objets ou des fonds qui n’ont pu être saisis et en pre- nant en considération la totalité de l’avantage économique obtenu au mo- ment de l’infraction (HIRSIG-VOUILLOZ, op. cit., n° 8 ad art. 71 CP).</w:t>
      </w:r>
    </w:p>
    <w:p>
      <w:r>
        <w:rPr>
          <w:b/>
        </w:rPr>
        <w:t>E. 3.8</w:t>
      </w:r>
    </w:p>
    <w:p>
      <w:r>
        <w:t>En l’occurrence, il y a lieu de considérer que si la somme de USD 12.9 mio avait été encore disponible sur le compte, les indices en présence auraient</w:t>
      </w:r>
    </w:p>
    <w:p>
      <w:r>
        <w:t>- 8 -</w:t>
      </w:r>
    </w:p>
    <w:p>
      <w:r>
        <w:t>justifié un séquestre en vue de confiscation. Ainsi, le séquestre des avoirs présents sur le compte de la recourante se justifie en vue de l’éventuel prononcé d’une créance compensatrice.</w:t>
      </w:r>
    </w:p>
    <w:p>
      <w:r>
        <w:rPr>
          <w:b/>
        </w:rPr>
        <w:t>E. 3.9</w:t>
      </w:r>
    </w:p>
    <w:p>
      <w:r>
        <w:t>Sur le vu de l’ensemble de ces éléments, force est de constater que le sé- questre du compte apparaît comme étant bien-fondé. Au demeurant, il res- pecte le principe de la proportionnalité, le montant sous main de justice étant amplement inférieur au montant des avoirs présumés d’origine illicite. Au vu de la gravité des actes potentiellement répréhensibles, la mesure de séquestre répond au surplus à l’intérêt public.</w:t>
      </w:r>
    </w:p>
    <w:p>
      <w:r>
        <w:t>4.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est fixé à CHF 1'500.--.</w:t>
      </w:r>
    </w:p>
    <w:p>
      <w:r>
        <w:t>- 9 -</w:t>
      </w:r>
    </w:p>
    <w:p>
      <w:r>
        <w:rPr>
          <w:b/>
        </w:rPr>
        <w:t>E. 8</w:t>
      </w:r>
    </w:p>
    <w:p>
      <w:r>
        <w:t>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SJ 1994 p.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