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BB.2012.191 vom 8. Februar 2013</w:t>
      </w:r>
    </w:p>
    <w:p>
      <w:r>
        <w:t>Bundesstrafgericht, 2013-02-08, FR</w:t>
      </w:r>
    </w:p>
    <w:p>
      <w:r>
        <w:rPr>
          <w:b/>
        </w:rPr>
        <w:t xml:space="preserve">Quelle: </w:t>
      </w:r>
      <w:r>
        <w:t>https://mcp.opencaselaw.ch/entscheid/bstger_BB.2012.191</w:t>
      </w:r>
    </w:p>
    <w:p>
      <w:r>
        <w:t>FR: TPF BB.2012.191 du 8 février 2013</w:t>
      </w:r>
    </w:p>
    <w:p>
      <w:r>
        <w:t>IT: TPF BB.2012.191 del 8 febbraio 2013</w:t>
      </w:r>
    </w:p>
    <w:p>
      <w:pPr>
        <w:pStyle w:val="Heading2"/>
      </w:pPr>
      <w:r>
        <w:t>Regeste</w:t>
      </w:r>
    </w:p>
    <w:p>
      <w:r>
        <w:t>Séquestre (art. 263 ss CPP). Récusation (art. 59 al. 1 en lien avec l'art. 56 CPP). Effet suspensif (art. 387 CPP).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 la demande de récusation.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La requêtes d'effet suspensif et la requête en mesures super-provisionnelles sont sans objet.</w:t>
      </w:r>
    </w:p>
    <w:p>
      <w:r>
        <w:rPr>
          <w:b/>
        </w:rPr>
        <w:t>E. 4</w:t>
      </w:r>
    </w:p>
    <w:p>
      <w:r>
        <w:t>Un émolument de CHF 1'000.-- est mis à la charge de la recourante.</w:t>
      </w:r>
    </w:p>
    <w:p>
      <w:r>
        <w:t>Bellinzone, le 8 février 2013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A. AG - Ministère public de la Confédération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