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BB.2012.178 vom 20. Dezember 2012</w:t>
      </w:r>
    </w:p>
    <w:p>
      <w:r>
        <w:t>Bundesstrafgericht, 2012-12-20, FR</w:t>
      </w:r>
    </w:p>
    <w:p>
      <w:r>
        <w:rPr>
          <w:b/>
        </w:rPr>
        <w:t xml:space="preserve">Quelle: </w:t>
      </w:r>
      <w:r>
        <w:t>https://mcp.opencaselaw.ch/entscheid/bstger_BB.2012.178</w:t>
      </w:r>
    </w:p>
    <w:p>
      <w:r>
        <w:t>FR: TPF BB.2012.178 du 20 décembre 2012</w:t>
      </w:r>
    </w:p>
    <w:p>
      <w:r>
        <w:t>IT: TPF BB.2012.178 del 20 dicembre 2012</w:t>
      </w:r>
    </w:p>
    <w:p>
      <w:pPr>
        <w:pStyle w:val="Heading2"/>
      </w:pPr>
      <w:r>
        <w:t>Regeste</w:t>
      </w:r>
    </w:p>
    <w:p>
      <w:r>
        <w:t>Récusation (art. 56 ss CPP); séquestre (art. 263 ss CPP).</w:t>
      </w:r>
    </w:p>
    <w:p>
      <w:pPr>
        <w:pStyle w:val="Heading2"/>
      </w:pPr>
      <w:r>
        <w:t>Volltext</w:t>
      </w:r>
    </w:p>
    <w:p>
      <w:r>
        <w:t>Décision du 20 décembre 2012 Cour des plaintes Composition</w:t>
      </w:r>
    </w:p>
    <w:p>
      <w:r>
        <w:t>Les juges pénaux fédéraux Stephan Blättler, président, Tito Ponti et Patrick Robert-Nicoud, le greffier Martin Eckner</w:t>
      </w:r>
    </w:p>
    <w:p>
      <w:r>
        <w:t>Parties</w:t>
      </w:r>
    </w:p>
    <w:p>
      <w:r>
        <w:t>A. LTD C/O B. AG,</w:t>
      </w:r>
    </w:p>
    <w:p>
      <w:r>
        <w:t>recourante</w:t>
      </w:r>
    </w:p>
    <w:p>
      <w:r>
        <w:t>contre</w:t>
      </w:r>
    </w:p>
    <w:p>
      <w:r>
        <w:t>MINISTÈRE PUBLIC DE LA CONFÉDÉRATION,</w:t>
      </w:r>
    </w:p>
    <w:p>
      <w:r>
        <w:t>intimé</w:t>
      </w:r>
    </w:p>
    <w:p>
      <w:r>
        <w:t>Objet</w:t>
      </w:r>
    </w:p>
    <w:p>
      <w:r>
        <w:t>Récusation (art. 56 ss CPP); séquestre (art. 263 ss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BB.2012.178</w:t>
      </w:r>
    </w:p>
    <w:p>
      <w:r>
        <w:t>- 2 -</w:t>
      </w:r>
    </w:p>
    <w:p>
      <w:r>
        <w:t>Vu:</w:t>
      </w:r>
    </w:p>
    <w:p>
      <w:r>
        <w:t>- la procédure pénale menée, depuis l’été 2009, par le Ministère public de la Confédération (ci-après: MPC) contre C., D. et consorts, - la décision du MPC du 15 avril 2011 par laquelle cette autorité a séquestré le compte bancaire n° 1 auprès de la banque E. dont la titulaire est la société A. LTD (act. 3.1), - le recours interjeté par A. LTD à l’encontre d'une décision identifiée du MPC (act. 1), intitulé « Rekurs gegen die ungerechtfertigte Blockierung unseres Kontos bei der Bank E., in Z., welche uns (erst heute) von der Bank gemäss Beilage mitgeteilt wurde - angeblich besteht seit Monaten ein Informations- verbot der Bundesanwaltschaft Lausanne, welche sich gemäss beiliegendem Schreiben vom 6.11, 2.10 und 22.9.2012 geweigert hat, uns Einsicht in deren Verfügungen zu gewähren », - les conclusions dudit recours visant, en substance, à la levée du séquestre, - la demande de récusation formée dans le même recours contre « les trois ju- ges compétents pour ce complexe », - la prise de position du MPC du 23 novembre 2012 (act. 3), limitée par la Cour de céans à l'existence, à la date et à la notification d'une éventuelle décision correspondante (act. 2), - les pièces jointes par le MPC, à savoir la décision de séquestre du 15 avril 2011 (act. 3.1), une procuration de A. LTD à Me F. datée du 10 mai 2011 et une lettre de Me F. au MPC datée du 27 mai 2011 (act. 3.2), - la transmission à A. LTD de la prise de position et des pièces reçues du MPC pour information (act. 5), - la détermination spontanée de la recourante du 5 décembre 2012 (act. 6),</w:t>
      </w:r>
    </w:p>
    <w:p>
      <w:r>
        <w:t>- 3 -</w:t>
      </w:r>
    </w:p>
    <w:p>
      <w:r>
        <w:t>Et considérant:</w:t>
      </w:r>
    </w:p>
    <w:p>
      <w:r>
        <w:t>que la demande de récusation formée par la recourante désigne les trois juges compétents pour le complexe;</w:t>
      </w:r>
    </w:p>
    <w:p>
      <w:r>
        <w:t>que les nombreuses affaires qui font partie dudit complexe ne sont pas traitées systématiquement par les mêmes juges;</w:t>
      </w:r>
    </w:p>
    <w:p>
      <w:r>
        <w:t>que ledit complexe ne permet pas d'identifier la cause et les motifs sur lesquels la recourante fonde sa demande;</w:t>
      </w:r>
    </w:p>
    <w:p>
      <w:r>
        <w:t>que par conséquent la demande de récusation est irrecevable (BOOG, in Basler Kommentar StPO, Bâle 2011, n° 2 ad art. 56 CPP, jurisprudence et doctriné ci- tées);</w:t>
      </w:r>
    </w:p>
    <w:p>
      <w:r>
        <w:t>que la Cour des plaintes du Tribunal pénal fédéral examine d’office et en pleine cognition la recevabilité des recours qui lui sont adressés (ATF 122 IV 188 consid. 1 et arrêts cités);</w:t>
      </w:r>
    </w:p>
    <w:p>
      <w:r>
        <w:t>que les décisions du MPC peuvent faire l’objet d’un recours devant la Cour de céans (art. 393 al. 1 let. a CPP et art. 37 al. 1 LOAP en lien avec l’art. 19 al. 1 du Règlement sur l’organisation du Tribunal pénal fédéral [ROTPF; RS 173.713.161]);</w:t>
      </w:r>
    </w:p>
    <w:p>
      <w:r>
        <w:t>qu’à teneur de l’art. 390 al. 2 CPP, l’autorité de recours peut surseoir à procéder à un échange d’écritures lorsque le recours est manifestement irrecevable;</w:t>
      </w:r>
    </w:p>
    <w:p>
      <w:r>
        <w:t>que le recours contre les décisions notifiées par écrit ou oralement doit être moti- vé et formé par écrit dans un délai de dix jours (art. 396 al. 1 CPP);</w:t>
      </w:r>
    </w:p>
    <w:p>
      <w:r>
        <w:t>que le délai court dès la notification de la décision (art. 384 let. b CPP) ou à dé- faut, dès que la personne concernée en a eu connaissance (art. 384 let. b CPP);</w:t>
      </w:r>
    </w:p>
    <w:p>
      <w:r>
        <w:t>que la seule ordonnance rendue par le MPC relative au compte séquestré date du 15 avril 2011;</w:t>
      </w:r>
    </w:p>
    <w:p>
      <w:r>
        <w:t>que le MPC indique avoir notifié ladite ordonnance à la recourante (act. 3);</w:t>
      </w:r>
    </w:p>
    <w:p>
      <w:r>
        <w:t>- 4 -</w:t>
      </w:r>
    </w:p>
    <w:p>
      <w:r>
        <w:t>qu'il ressort des pièces produites par le MPC que le 10 mai 2011, A. LTD manda- tait Me F. « aux fins de requérir la levée du séquestre du compte bancaire n° 1 auprès de la banque E. » (act. 3.2);</w:t>
      </w:r>
    </w:p>
    <w:p>
      <w:r>
        <w:t>que le 27 mai 2011, Me F. écrivait au MPC et se référait au contenu de ladite or- donnance, requérant pour A. LTD la levée du séquestre à hauteur de CHF 1'344'428.63 (act. 3.2);</w:t>
      </w:r>
    </w:p>
    <w:p>
      <w:r>
        <w:t>qu'il apparaît ainsi qu'au plus tard le 10 mai 2011, A. LTD, par son représentant C., avait connaissance dudit séquestre;</w:t>
      </w:r>
    </w:p>
    <w:p>
      <w:r>
        <w:t>que même en considérant par hypothèse que A. LTD avait eu connaissance de l'ordonnance ce jour même, le délai de recours aurait commencé à courir le 10 mai 2011 et pris fin le 20 mai 2011;</w:t>
      </w:r>
    </w:p>
    <w:p>
      <w:r>
        <w:t>que son recours du 14 novembre 2012 (act. 1) est donc singulièrement tardif;</w:t>
      </w:r>
    </w:p>
    <w:p>
      <w:r>
        <w:t>que par conséquent, il se justifie de déclarer celui-ci irrecevable, ce sans échan- ge d’écritures préalable;</w:t>
      </w:r>
    </w:p>
    <w:p>
      <w:r>
        <w:t>que, vu le sort de la cause, il incombe à la recourante de supporter les frais de la procédure (art. 428 al. 1 CPP);</w:t>
      </w:r>
    </w:p>
    <w:p>
      <w:r>
        <w:t>que ceux-ci prendront en l’espèce la forme d’un émolument qui, en application des art. 5 et 8 du Règlement du Tribunal pénal fédéral du 31 août 2010 sur les frais, émoluments, dépens et indemnités de la procédure pénale fédérale (RS 173.713.162), sera fixé à CHF 700.--.</w:t>
      </w:r>
    </w:p>
    <w:p>
      <w:r>
        <w:t>- 5 -</w:t>
      </w:r>
    </w:p>
    <w:p>
      <w:r>
        <w:t>Par ces motifs, la Cour des plaintes prononce:</w:t>
      </w:r>
    </w:p>
    <w:p>
      <w:r>
        <w:t>1. La demande de récusation est irrecevable.</w:t>
      </w:r>
    </w:p>
    <w:p>
      <w:r>
        <w:t>2. Le recours est irrecevable.</w:t>
      </w:r>
    </w:p>
    <w:p>
      <w:r>
        <w:t>3. Un émolument de CHF 700.-- est mis à la charge de la recourante.</w:t>
      </w:r>
    </w:p>
    <w:p>
      <w:r>
        <w:t>Bellinzone, le 20 décembre 2012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A. Ltd c/o B. AG - Ministère public de la Confédération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