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BB.2012.174 vom 12. Dezember 2012</w:t>
      </w:r>
    </w:p>
    <w:p>
      <w:r>
        <w:t>Bundesstrafgericht, 2012-12-12, DE</w:t>
      </w:r>
    </w:p>
    <w:p>
      <w:r>
        <w:rPr>
          <w:b/>
        </w:rPr>
        <w:t xml:space="preserve">Quelle: </w:t>
      </w:r>
      <w:r>
        <w:t>https://mcp.opencaselaw.ch/entscheid/bstger_BB.2012.174</w:t>
      </w:r>
    </w:p>
    <w:p>
      <w:r>
        <w:t>FR: TPF BB.2012.174 du 12 décembre 2012</w:t>
      </w:r>
    </w:p>
    <w:p>
      <w:r>
        <w:t>IT: TPF BB.2012.174 del 12 dicembre 2012</w:t>
      </w:r>
    </w:p>
    <w:p>
      <w:pPr>
        <w:pStyle w:val="Heading2"/>
      </w:pPr>
      <w:r>
        <w:t>Regeste</w:t>
      </w:r>
    </w:p>
    <w:p>
      <w:r>
        <w:t>Zulassung der Privatklägerschaft (Art. 118 ff. i.V.m. Art. 104 Abs. 1 lit. b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und Art. 19 Abs. 1 des Orga- nisationsreglements vom 31. August 2010 für das Bundesstrafgericht [Or- ganisationsreglement BStGer, BStGerOR; SR 173.713.161]).</w:t>
      </w:r>
    </w:p>
    <w:p>
      <w:r>
        <w:rPr>
          <w:b/>
        </w:rPr>
        <w:t>E. 1.2</w:t>
      </w:r>
    </w:p>
    <w:p>
      <w:r>
        <w:t>Zur Beschwerde legitimiert ist jede Partei, welche ein rechtlich geschütztes Interesse an der Aufhebung oder Änderung des angefochtenen Entschei- des hat, mithin durch die Verfahrenshandlung oder Verfügung beschwert ist</w:t>
      </w:r>
    </w:p>
    <w:p>
      <w:r>
        <w:t>- 4 -</w:t>
      </w:r>
    </w:p>
    <w:p>
      <w:r>
        <w:t>(Art. 382 Abs. 1 StPO). Die Beschwerde gegen schriftlich oder mündlich eröffnete Entscheide ist innert zehn Tagen schriftlich und begründet einzu- reichen (Art. 396 Abs. 1 StPO). Mit ihr gerügt werden können gemäss Art. 393 Abs. 2 StPO Rechtsverletzungen, einschliesslich Überschreitung und Missbrauch des Ermessens, Rechtsverweigerung und Rechtsverzöge- rung (lit. a), die unvollständige oder unrichtige Feststellung des Sachver- halts (lit. b) sowie die Unangemessenheit (lit. c).</w:t>
      </w:r>
    </w:p>
    <w:p>
      <w:r>
        <w:rPr>
          <w:b/>
        </w:rPr>
        <w:t>E. 1.3</w:t>
      </w:r>
    </w:p>
    <w:p>
      <w:r>
        <w:t>Die vorliegende Beschwerde richtet sich gegen eine Verfügung der Be- schwerdegegnerin 1 als Vorinstanz vom 26. Oktober 2012, welche bei der Rechtsvertreterin der Beschwerdeführer am 29. Oktober 2012 einging. Die Beschwerde vom 8. November ist somit innert Frist erfolgt. Die vier Be- schwerdeführer sind insofern zur Beschwerde legitimiert, als die Ablehnung ihrer Parteistellung als Privatkläger sie in ihrer Rechtsstellung direkt be- rührt. Auf die Beschwerde ist einzutreten. Die Frage der schweizerischen Strafverfolgungszuständigkeit stellt sich in diesem Beschwerdeverfahren nicht.</w:t>
      </w:r>
    </w:p>
    <w:p>
      <w:r>
        <w:rPr>
          <w:b/>
        </w:rPr>
        <w:t>E. 2</w:t>
      </w:r>
    </w:p>
    <w:p>
      <w:r>
        <w:t>Hinsichtlich der Verfahrensanträge der Beschwerdeführer ist Folgendes festzuhalten: Die Beschwerdekammer sieht davon ab, von der Beschwer- degegnerin 1 zusätzliche Akten beizuziehen, weil solche für die spezifisch hier interessierenden Frage der Privatklägerstellung nicht relevant sind. Was sodann den Antrag der Beschwerdeführer auf Gewährleistung der Anonymität der Identität der Beschwerdeführer 2 - 4 anbelangt, so kann diesem Anliegen insoweit Rechnung getragen werden, als der Beschwer- degegnerin 2 der Beschwerdeentscheid in einer Fassung zugestellt wird, in der die Namen der Beschwerdeführer 2 - 4 anonymisiert sind. Die Be- schwerdegegnerin 2 ist wegen des Ausgangs des vorliegenden Beschwer- deverfahrens durch diese Teilanonymisierung in ihrer Rechtsstellung nicht berührt. Schliesslich verzichtet die Beschwerdekammer auch darauf, die Rechtsmittelschrift den Beschwerdegegnerinnen zuzustellen und einen Schriftenwechsel durchzuführen, da - wie nachfolgend darzutun sein wird - die Beschwerde offensichtlich unbegründet ist (Art. 390 Abs. 2 StPO).</w:t>
      </w:r>
    </w:p>
    <w:p>
      <w:r>
        <w:rPr>
          <w:b/>
        </w:rPr>
        <w:t>E. 3.1</w:t>
      </w:r>
    </w:p>
    <w:p>
      <w:r>
        <w:t>Die Beschwerdegegnerin 1 als Vorinstanz hat die Ablehnung der Privatklä- gerstellung der Beschwerdeführer damit begründet, diesen sei kein unmit- telbarer Schaden zugefügt worden, da sie nicht Träger des durch die fragli- chen Strafnormen geschützten Rechtsgutes seien. Geldwäscherei gemäss Art. 305bis StGB sei ein Rechtspflegedelikt und schütze Individualinteressen nur soweit, als die der Einziehung unterliegenden Vermögenswerte aus Straftaten gegen Individualinteressen herrührten. Dies seien bei der Geld-</w:t>
      </w:r>
    </w:p>
    <w:p>
      <w:r>
        <w:t>- 5 -</w:t>
      </w:r>
    </w:p>
    <w:p>
      <w:r>
        <w:t>wäscherei unterliegenden Bestechungsgeldern der Staat Malaysia bzw. der Bundesstaat V., nicht aber die Beschwerdeführer. Der Beschwerdeführer 1 könne seine Legitimation auch nicht aus seinem statuarischen Zweck des Schutzes kollektiver, gruppenspezifischer oder fremder Rechtsgüter ablei- ten. Das Straf- und Strafprozessrecht kenne keine Verbandslegitimation.</w:t>
      </w:r>
    </w:p>
    <w:p>
      <w:r>
        <w:t>Die Beschwerdeführer räumen zwar ein, dass der Schaden aus der illega- len bzw. durch Korruption bestimmten Abholzung dem Staat Malaysia bzw. der malaysischen Öffentlichkeit entstanden sei. Indessen machen sie gel- tend und legen dar, dass aufgrund der engen persönlichen Verknüpfung zwischen Regierung, Justiz und den mutmasslich korrumpierten Personen eine Strafverfolgung in Malaysia bzw. eine Interessenwahrung im in der Schweiz geführten Strafverfahren unrealistisch sei (act. 1, S. 10 - 13). Die üblichen Regeln über die Privatklägerstellung könnten deswegen nicht un- besehen zur Anwendung gebracht werden, woraus eine Privatklägerstel- lung des Beschwerdeführers 1 abzuleiten sei. Die Beschwerdeführer 2 - 4 seien von der korruptionsbedingten Abholzung als Indigene "stark negativ betroffen", schädigten diese doch die in und vom Regenwald von V. leben- den indigenen Gemeinden "in ihren Eigentumsrechten", beeinträchtigten die unmittelbare physische Lebensgrundlage durch Versorgung mit Früch- ten, Gemüsen und Proteinen aus dem Regenwald. Es werde der Reisan- bau gefährdet. Ferner würden als Folge der Abholzung Leib und Leben durch Springfluten und Schlammlawinen gefährdet. Der Beschwerdeführer 2 sei durch illegale Holzkonzessionsvergabe und Forstpolitik von F. in sei- ner "Eigenschaft als Inhaber von traditionellen Land- und Nutzungsrechten direkt geschädigt" (act. 1, S. 7).</w:t>
      </w:r>
    </w:p>
    <w:p>
      <w:r>
        <w:rPr>
          <w:b/>
        </w:rPr>
        <w:t>E. 3.2</w:t>
      </w:r>
    </w:p>
    <w:p>
      <w:r>
        <w:t>Gemäss Art. 104 Abs. 1 lit. c StPO sind Parteien u. a. die Privatkläger- schaft. Nach Art. 118 Abs. 1 StPO gilt als Privatklägerschaft die geschädig- te Person, die ausdrücklich erklärt, sich am Strafverfahren als Straf- oder Zivilklägerin oder -kläger zu beteiligen. Privatklägerschaft setzt damit Ge- schädigteneigenschaft gemäss Art. 115 StPO voraus. Gemäss letzterer Bestimmung gilt als geschädigte Person die Person, die durch die Straftat in ihren Rechten unmittelbar verletzt worden ist, bei Antragsdelikten die zur Stellung des Strafantrags berechtigte Person. Die Voraussetzung der un- mittelbaren Rechtsverletzung knüpft an den Rechtsgutbegriff an. Unmittel- bar verletzt ist nach herrschender Auffassung der Träger des durch die ver- letzte Rechtsnorm geschützten Rechtsguts; also derjenige, dessen Rechtsgut unter den Schutzbereich der verletzten Strafnorm fällt. Damit werden vom Geschädigtenkreis (in diesem Sinne) ausgeschlossen, Perso- nen, die ein blosses Interesse am Ausgang des Strafverfahrens haben, die Rechtsnachfolger geschädigter Personen und sonstige Dritte, deren Rech-</w:t>
      </w:r>
    </w:p>
    <w:p>
      <w:r>
        <w:t>- 6 -</w:t>
      </w:r>
    </w:p>
    <w:p>
      <w:r>
        <w:t>te durch die Straftat nur reflexartig verletzt werden. Massgeblich ist dem- nach, ob eine Person, die sich als Privatkläger konstituieren will, Trägerin eines Rechtsguts ist, welches unter den Schutzbereich der (mutmasslich) verletzten Strafnorm fällt (MAZZUCHELLI/POSTIZZI, BSK-StPO N 21 zu Art. 115). Darüber hinaus bedarf es eines direkten Kausalzusammenhang zwischen der strafbaren Handlung und der erlittenen Verletzung als "condi- tio sine qua non" (MOREILLON/DUPUIS/MAZOU, La pratique judiciare du Tri- bunal pénal fédéral, in Journal des Tribunaux [JDT] 2008, IV, S. 97 ff, Nr. 82 f.). Bei bloss mittelbarer Benachteiligung privater Interessen durch Straftatbestände, welche primär allgemeine Interessen schützen, werden die Verfolgungsansprüche durch die Staatsanwaltschaft wahrgenommen (SCHMID, StPO Praxiskommentar, N 3 zu Art. 115).</w:t>
      </w:r>
    </w:p>
    <w:p>
      <w:r>
        <w:t>Interessenverbände, deren statutarischer Zweck den Schutz kollektiver, gruppenspezifischer oder fremder Rechtsgüter zum Ziel hat, gelten nicht als geschädigte Personen i. S. v. Art. 115 Abs. 1 StPO. Sie werden nicht schon dadurch Träger der Rechtsgüter, dass sie sich der Pflege dieser Rechtsgüter satzungsgemäss widmen. Nur wenn gesetzliche Sonderbe- stimmungen vorliegen, die einem solchen Interesseverband die Strafan- tragsberechtigung zusprechen, ist dieser ausnahmsweise als geschädigte Person gemäss Art. 115 Abs. 1 StPO zu betrachten (MAZZUCHELLI/POSTIZ- ZI, a.a.O., N 35, 36 zu Art. 115). Der Gesetzgeber hat es bei der Schaffung der StPO entgegen zweier parlamentarischer Motionen abgelehnt, im Straf- recht vergleichbar anderen Rechtsgebieten eine Art Verbandsbeschwerde- recht mit Parteistellung einzuräumen. Vielmehr erachtet er die Möglichkeit der Strafanzeige als ausreichend (SCHMID, Handbuch des schweizerischen Strafprozessrechts, Zürich/St.Gallen, 2009, N 637 unter Verweis auf die Botschaft zur StPO, BBl 2005, S. 1163).</w:t>
      </w:r>
    </w:p>
    <w:p>
      <w:r>
        <w:t>Im vorliegenden Fall geht es um den Vorwurf der Geldwäscherei gemäss Art. 305bis StGB. Diese Bestimmung schützt nicht nur den geordneten Gang der Rechtspflege, sondern auch vermögenswerte Interessen jener Perso- nen, die durch die Vortat verletzt worden sind. Der Inhaber solcher Vermö- genswerte ist auch in Bezug auf Art. 305bis StGB als geschädigte Person zu behandeln, sofern die Geldwäschereihandlung die Wiederbeschaffung der Vermögenswerte konkret erschwert hat. Abstrakte Gefährdung genügt zur Begründung der Geschädigtenstellung nicht, selbst wo sie strafbar ist (MAZZUCHELLI/ POSTIZZI, a.a.O., N 82 zu Art. 115 mit Verweis auf BGE 129 IV 322 E. 2.2.4; auch Entscheid des BStGer vom 30. April 2012, BB.2011.107 [und weitere], E. 5.2.1). Vortaten der angezeigten Geldwä- schereihandlungen sind vorliegend allerdings nicht Vermögensstraftaten, sondern ausschliesslich Bestechungshandlungen im Sinne der Art. 322ter -</w:t>
      </w:r>
    </w:p>
    <w:p>
      <w:r>
        <w:t>- 7 -</w:t>
      </w:r>
    </w:p>
    <w:p>
      <w:r>
        <w:t>322octies StGB. Nach bundesgerichtlicher Rechtsprechung kann der auslän- dische Staat dann als Geschädigter von Korruptionshandlungen im eigent- lichen Sinne gelten und es kommt ihm Privatklägerstellung zu, wenn er aufgrund der durch die Korruption beeinflussten Handlungen einen finan- ziellen Schaden erlitten hat (Urteil des Bundesgerichts vom 3. November 2010, 6B_908/2009, E. 2.3.2). Im Übrigen, so der gleiche Entscheid, per- vertiere die Korruption öffentlicher Angestellter den Entscheidungsprozess im betroffenen Staat, widerspreche den öffentlichen Interessen und schwä- che den Staat.</w:t>
      </w:r>
    </w:p>
    <w:p>
      <w:r>
        <w:rPr>
          <w:b/>
        </w:rPr>
        <w:t>E. 3.3</w:t>
      </w:r>
    </w:p>
    <w:p>
      <w:r>
        <w:t>Offenkundig ist, dass die Beschwerdeführer 2 - 4 weder durch mögliche Geldwäschereitaten noch durch mögliche Bestechungshandlungen unmit- telbar in ihren rechtlich geschützten Rechten verletzt sind. Für die Be- schwerdeführer 2 - 4 wird geltend gemacht, sie seien von der korruptions- bedingten Abholzung als Indigene "stark negativ betroffen", schädigten die- se doch die in und vom Regenwald von V. lebenden "indigenen Gemein- den" in ihren Eigentumsrechten, beeinträchtigten die unmittelbare physi- sche Lebensgrundlage durch Versorgung mit Früchten, Gemüsen und Pro- teinen. Ferner würde als Folge der Abholung Leib und Leben durch Spring- fluten und Schlammlawinen gefährdet. Der Beschwerdeführer 2 sei durch illegale Holzkonzessionsvergabe und Forstpolitik von F. zudem in seiner "Eigenschaft als Inhaber von traditionellen Land- und Nutzungsrechten di- rekt geschädigt". Ob die behaupteten "Rechte" nach malaysischem Recht überhaupt den Beschwerdeführern 2 - 4 zustehen, ist völlig unklar. Aus der Strafanzeige, der Beschwerde und den weiteren Eingaben beim Gericht ergibt sich dazu nichts. Unabhängig davon handelt es sich bei derartigen Beeinträchtigungen typischerweise um sogenannten Reflexschaden aus den, soweit zutreffend, durch Bestechung beeinflussten Konzessionsver- gaben verursachten bzw. geduldeten Abholzungen. Wer aber nur einen Reflexschaden erleidet, durch Straftaten also bloss wirtschaftlich beein- trächtigt ist, ist gerade nicht unmittelbar Geschädigter. Bei den Beschwer- deführern 2 - 4 fehlt es somit offenkundig an der Voraussetzung des Art. 115 StPO, weshalb die Beschwerdegegnerin 1 als Vorinstanz diesen zu Recht die Stellung als Privatkläger abgesprochen hat.</w:t>
      </w:r>
    </w:p>
    <w:p>
      <w:r>
        <w:rPr>
          <w:b/>
        </w:rPr>
        <w:t>E. 3.4</w:t>
      </w:r>
    </w:p>
    <w:p>
      <w:r>
        <w:t>Der Beschwerdeführer 1 ist ein Verein, welcher den Schutz und Erhalt der tropischen Regenwälder bezweckt sowie die Landrechts- und Waldschutz- bestrebungen der indigenen und traditionellen Bevölkerung unterstützt (act. 2.4). Er entspricht somit geradezu idealtypisch dem Interessenver- band im Sinne der vorstehenden Ausführungen (vgl. E. 3.2) und erfüllt als solcher die Voraussetzungen für eine Privatklägerstellung gerade nicht. Der Umstand, dass er Schadenersatz- und Genugtuungsforderungen für die in-</w:t>
      </w:r>
    </w:p>
    <w:p>
      <w:r>
        <w:t>- 8 -</w:t>
      </w:r>
    </w:p>
    <w:p>
      <w:r>
        <w:t>digene Bevölkerung Malaysias geltend macht, macht ihn ebenfalls nicht zum Geschädigten im Sinne der obigen Definition. Der Umstand, dass auf- grund der vom Beschwerdeführer 1 behaupteten Verquickung zwischen Justiz und bestochenen Funktionsträgern nicht mit strafrechtlichen Schrit- ten zu rechnen sei, ändert daran nichts. Das mögliche Ungenügen einer ausländischen (Straf-)Rechtsordnung bei der Verfolgung von deren Inland- delikten kann nicht zu einer Ausweitung der Legitimation eines Interessen- verbandes in einem schweizerischen Strafverfahren führen. Der Beschwer- deführer 1 spricht in diesem Zusammenhang das Bundesgesetz über die Rückerstattung unrechtmässig erworbener Vermögenswerte politisch ex- ponierter Personen vom 28. April 2010 (RuVG, SR 196.1) an und möchte indirekt daraus etwas für seine Legitimation zur Privatklägerstellung ablei- ten. Der Hinweis geht in mehrfacher Hinsicht fehl: Erstens beschlägt das genannte Gesetz die Frage der Privatklägerstellung in Fällen von in der Schweiz lagernden Vermögenswerten politisch exponierter Personen in keiner Weise. Zweitens bezieht sich das RuVG nicht auf Strafverfahren, sondern dient der verwaltungsrechtlichen Vorbereitung (Art. 2 lit a RuVG) eines allenfalls einmal eintreffenden Rechtshilfeersuchens nach dem Bun- desgesetz über die internationale Rechtshilfe in Strafsachen (IRSG, SR 351.1) oder der verwaltungsrechtlichen Einziehung nach Art. 5 RuVG. Drittens zeigt gerade der Umstand, dass ein spezifisches Gesetz geschaf- fen werden musste, um eine unbefriedigende Situation gesetzlich zu re- geln, dass daraus – über den Anwendungsbereich dieses Gesetzes hi- nausgehend – keine Rückschlüsse etwa zur hier interessierenden Proble- matik gezogen werden können. Zusammenfassend fehlt es somit klarer- weise an den Voraussetzungen für eine Privatklägerstellung des Be- schwerdeführers 1.</w:t>
      </w:r>
    </w:p>
    <w:p>
      <w:r>
        <w:rPr>
          <w:b/>
        </w:rPr>
        <w:t>E. 3.5</w:t>
      </w:r>
    </w:p>
    <w:p>
      <w:r>
        <w:t>Die Beschwerde ist damit abzuweisen.</w:t>
      </w:r>
    </w:p>
    <w:p>
      <w:r>
        <w:rPr>
          <w:b/>
        </w:rPr>
        <w:t>E. 4</w:t>
      </w:r>
    </w:p>
    <w:p>
      <w:r>
        <w:t>Bei diesem Ausgang des Verfahrens haben die Beschwerdeführer die Ge- richtskosten unter solidarischer Haftung zu tragen (Art. 428 Abs. 1 StPO). Die Gerichtsgebühr ist auf Fr. 1'600.-- festzusetzen (Art. 73 StBOG i.V.m. Art. 5 und 8 Abs. 1 des Reglements des Bundesstrafgerichts vom 31. Au- gust 2010 über die Kosten, Gebühren und Entschädigungen in Bundes- strafverfahren [BStKR, SR 173.713.162]). Die Gerichtsgebühr ist mit dem von den Beschwerdeführern insgesamt im gleichen Betrag geleisteten Kos- tenvorschuss zu verrechnen (act. 5).</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