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BB.2012.171 vom 13. November 2012</w:t>
      </w:r>
    </w:p>
    <w:p>
      <w:r>
        <w:t>Bundesstrafgericht, 2012-11-13, FR</w:t>
      </w:r>
    </w:p>
    <w:p>
      <w:r>
        <w:rPr>
          <w:b/>
        </w:rPr>
        <w:t xml:space="preserve">Quelle: </w:t>
      </w:r>
      <w:r>
        <w:t>https://mcp.opencaselaw.ch/entscheid/bstger_BB.2012.171</w:t>
      </w:r>
    </w:p>
    <w:p>
      <w:r>
        <w:t>FR: TPF BB.2012.171 du 13 novembre 2012</w:t>
      </w:r>
    </w:p>
    <w:p>
      <w:r>
        <w:t>IT: TPF BB.2012.171 del 13 novembre 2012</w:t>
      </w:r>
    </w:p>
    <w:p>
      <w:pPr>
        <w:pStyle w:val="Heading2"/>
      </w:pPr>
      <w:r>
        <w:t>Regeste</w:t>
      </w:r>
    </w:p>
    <w:p>
      <w:r>
        <w:t>Dépôt (art. 265 al. 3 CPP).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requête d'effet suspensif est sans objet.</w:t>
      </w:r>
    </w:p>
    <w:p>
      <w:r>
        <w:rPr>
          <w:b/>
        </w:rPr>
        <w:t>E. 3</w:t>
      </w:r>
    </w:p>
    <w:p>
      <w:r>
        <w:t>Un émolument de CHF 700.-- est mis à la charge de la recourante.</w:t>
      </w:r>
    </w:p>
    <w:p>
      <w:r>
        <w:t>Bellinzone, le 14 novembre 2012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A. AG - Ministère public de la Confédération</w:t>
      </w:r>
    </w:p>
    <w:p>
      <w:r>
        <w:t>Indication des voies de recours Il n’existe pas de voies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