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BB.2012.164 vom 13. November 2012</w:t>
      </w:r>
    </w:p>
    <w:p>
      <w:r>
        <w:t>Bundesstrafgericht, 2012-11-13, FR</w:t>
      </w:r>
    </w:p>
    <w:p>
      <w:r>
        <w:rPr>
          <w:b/>
        </w:rPr>
        <w:t xml:space="preserve">Quelle: </w:t>
      </w:r>
      <w:r>
        <w:t>https://mcp.opencaselaw.ch/entscheid/bstger_BB.2012.164</w:t>
      </w:r>
    </w:p>
    <w:p>
      <w:r>
        <w:t>FR: TPF BB.2012.164 du 13 novembre 2012</w:t>
      </w:r>
    </w:p>
    <w:p>
      <w:r>
        <w:t>IT: TPF BB.2012.164 del 13 novembre 2012</w:t>
      </w:r>
    </w:p>
    <w:p>
      <w:pPr>
        <w:pStyle w:val="Heading2"/>
      </w:pPr>
      <w:r>
        <w:t>Regeste</w:t>
      </w:r>
    </w:p>
    <w:p>
      <w:r>
        <w:t>Dépôt (art. 265 al 3 CPP). Mesures provisionnelles (art. 388 CPP). 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requêtes en mesures superprovisionnelles sont irrecevables.</w:t>
      </w:r>
    </w:p>
    <w:p>
      <w:r>
        <w:rPr>
          <w:b/>
        </w:rPr>
        <w:t>E. 3</w:t>
      </w:r>
    </w:p>
    <w:p>
      <w:r>
        <w:t>La requête d'effet suspensif est sans objet.</w:t>
      </w:r>
    </w:p>
    <w:p>
      <w:r>
        <w:rPr>
          <w:b/>
        </w:rPr>
        <w:t>E. 4</w:t>
      </w:r>
    </w:p>
    <w:p>
      <w:r>
        <w:t>Un émolument de CHF 1'400.-- est mis solidairement à la charge des recou- rantes.</w:t>
      </w:r>
    </w:p>
    <w:p>
      <w:r>
        <w:t>Bellinzone, le 13 novembre 2012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Ltd c/o B. AG - C. Ltd c/o B. AG - Ministère public de la Confédération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