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BB.2012.157 vom 10. Oktober 2012</w:t>
      </w:r>
    </w:p>
    <w:p>
      <w:r>
        <w:t>Bundesstrafgericht, 2012-10-10, FR</w:t>
      </w:r>
    </w:p>
    <w:p>
      <w:r>
        <w:rPr>
          <w:b/>
        </w:rPr>
        <w:t xml:space="preserve">Quelle: </w:t>
      </w:r>
      <w:r>
        <w:t>https://mcp.opencaselaw.ch/entscheid/bstger_BB.2012.157</w:t>
      </w:r>
    </w:p>
    <w:p>
      <w:r>
        <w:t>FR: TPF BB.2012.157 du 10 octobre 2012</w:t>
      </w:r>
    </w:p>
    <w:p>
      <w:r>
        <w:t>IT: TPF BB.2012.157 del 10 ottobre 2012</w:t>
      </w:r>
    </w:p>
    <w:p>
      <w:pPr>
        <w:pStyle w:val="Heading2"/>
      </w:pPr>
      <w:r>
        <w:t>Regeste</w:t>
      </w:r>
    </w:p>
    <w:p>
      <w:r>
        <w:t>Participation à la procédure de levée des scellés devant le tribunal des mesures de contrainte (art. 248 CPP en lien avec l'art. 105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requête d'effet suspensif est sans objet.</w:t>
      </w:r>
    </w:p>
    <w:p>
      <w:r>
        <w:rPr>
          <w:b/>
        </w:rPr>
        <w:t>E. 3</w:t>
      </w:r>
    </w:p>
    <w:p>
      <w:r>
        <w:t>Un émolument de CHF 500.-- est mis à la charge de la recourante.</w:t>
      </w:r>
    </w:p>
    <w:p>
      <w:r>
        <w:t>Bellinzone, le 11 octobre 2012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Pierre de Preux, avocat, - Ministère public de la Confédération - Tribunal des mesures de contrainte</w:t>
      </w:r>
    </w:p>
    <w:p>
      <w:r>
        <w:t>Indication des voies de recours Il n'existe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