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BB.2012.152 vom 19. Dezember 2012</w:t>
      </w:r>
    </w:p>
    <w:p>
      <w:r>
        <w:t>Bundesstrafgericht, 2012-12-19, FR</w:t>
      </w:r>
    </w:p>
    <w:p>
      <w:r>
        <w:rPr>
          <w:b/>
        </w:rPr>
        <w:t xml:space="preserve">Quelle: </w:t>
      </w:r>
      <w:r>
        <w:t>https://mcp.opencaselaw.ch/entscheid/bstger_BB.2012.152</w:t>
      </w:r>
    </w:p>
    <w:p>
      <w:r>
        <w:t>FR: TPF BB.2012.152 du 19 décembre 2012</w:t>
      </w:r>
    </w:p>
    <w:p>
      <w:r>
        <w:t>IT: TPF BB.2012.152 del 19 dicembre 2012</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[ci-après: le Message], FF 2006 1057, 1296 i.f.; STEPHENSON/THIRIET, Commentaire bâlois, Schweizerische Strafprozessordnung, ci-après: Commentaire bâlois, no 15 ad art. 393; KELLER, Kommentar zur Schweize- rischen Strafprozessordnung [StPO], [Donatsch/Hansjakob/Lieber, éd.], ci-après: Kommentar StPO, no 39 ad art. 393; SCHMID, Handbuch des schweizerischen Strafprozessrechts, Zurich, Saint-Gall 2009, no 1512).</w:t>
      </w:r>
    </w:p>
    <w:p>
      <w:r>
        <w:t>- 4 -</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2 octobre 2012, le recours a été formé en temps utile.</w:t>
      </w:r>
    </w:p>
    <w:p>
      <w:r>
        <w:rPr>
          <w:b/>
        </w:rPr>
        <w:t>E. 2</w:t>
      </w:r>
    </w:p>
    <w:p>
      <w:r>
        <w:t>Cst., l'obligation pour l'autorité de motiver sa décision, afin que son desti- nataire puisse la comprendre et l'attaquer utilement s'il y a lieu et que l'au- torité de recours puisse exercer son contrôle (ATF 133 I 270 consid. 3.1; 133 III 439 consid. 3.3; arrêt du Tribunal fédéral 6B_28/2011 du 7 avril 2011, consid. 1.1). L'art. 108 al. 4 CPP prévoit pour sa part que les autori- tés pénales ne peuvent fonder leurs décisions sur des pièces auxquelles une partie n’a pas eu accès que si celle-ci a été informée de leur contenu essentiel. L'objet et la précision des indications à fournir dépendent de la nature de l'affaire et des circonstances particulières du cas; néanmoins, en règle générale, il suffit que l'autorité mentionne au moins brièvement les motifs qui l'ont guidée et sur lesquels elle a fondé sa décision sans qu'elle soit tenue d'exposer et de discuter de manière détaillée tous les faits, moyens de preuve, griefs et arguments soulevés par les parties (ATF 134 I 83 consid. 4.1 p. 88 et réf. citées; 112 Ia 107 consid. 2b; aussi 126 I 97 consid. 2b; 125 II 369 consid. 2c; 124 II 146 consid. 2a). Elle peut se limiter à l'examen des questions décisives pour l'issue du litige; il suffit que le jus- ticiable puisse apprécier correctement la portée de la décision et l'attaquer à bon escient (décision du Tribunal pénal fédéral BB.2012.11 du 30 octobre 2012 et références citées; ATF 134 I 83 consid. 4.1; 130 II 530 consid. 4.3; 126 I 97 consid. 2b). Dès lors que l'on peut discerner les motifs qui ont gui- dé la décision de l'autorité, le droit à une décision motivée est respecté même si la motivation présentée est erronée. La motivation peut d'ailleurs être implicite et résulter des différents considérants de la décision (arrêt 2C_23/2009 du 25 mai 2009 consid. 3.1, publié in RDAF 2009 II p. 434). Enfin, l'absence de motivation peut être guérie devant l'autorité supérieure pour autant que l'autorité intimée justifie sa décision et l'explique dans le mémoire de réponse, que le recourant a eu la possibilité de présenter un mémoire complémentaire pour prendre position sur les motifs contenus</w:t>
      </w:r>
    </w:p>
    <w:p>
      <w:r>
        <w:t>- 5 -</w:t>
      </w:r>
    </w:p>
    <w:p>
      <w:r>
        <w:t>dans la réponse des autorités intimées et qu'il n'en résulte aucun préjudice pour le recourant (ATF 125 I 209 consid. 9a et les arrêts cités). Le droit d'être entendu (ATF 127 V 431 consid. 3d/aa) est un droit de natu- re formelle dont la violation entraîne l'annulation de la décision attaquée, indépendamment du sort du recours sur le fond (arrêt du Tribunal fédéral 6B_28/2011 précité, ibidem).</w:t>
      </w:r>
    </w:p>
    <w:p>
      <w:r>
        <w:rPr>
          <w:b/>
        </w:rPr>
        <w:t>E. 2.1</w:t>
      </w:r>
    </w:p>
    <w:p>
      <w:r>
        <w:t>La jurisprudence a déduit du droit d'être entendu consacré à l'art. 29 al.</w:t>
      </w:r>
    </w:p>
    <w:p>
      <w:r>
        <w:rPr>
          <w:b/>
        </w:rPr>
        <w:t>E. 2.2</w:t>
      </w:r>
    </w:p>
    <w:p>
      <w:r>
        <w:t>En l'espèce, les recourants spécifient que leur recours n'est pas dirigé contre l'octroi de l'accès au dossier, mais contre la restriction de l'utilisation des pièces dans la procédure pénale et l'exigence de renvoyer les docu- ments qui leur avaient déjà été transmis. Il faut dès lors admettre qu'ils re- mettent également en cause la restriction ultérieure qui leur a été faite de consulter le dossier.</w:t>
      </w:r>
    </w:p>
    <w:p>
      <w:r>
        <w:rPr>
          <w:b/>
        </w:rPr>
        <w:t>E. 2.3</w:t>
      </w:r>
    </w:p>
    <w:p>
      <w:r>
        <w:t>En effet, dans un courrier du 12 juillet 2012, le MPC a invité le représentant des recourants à prendre rendez-vous pour "un accès complet au dossier de la cause" (act. 1.3), tout en précisant que les pièces ainsi obtenues ne pourraient être utilisées dans le cadre du litige qui oppose les parties aux Royaume-Uni. Dans la décision querellée de septembre 2012, il a cepen- dant restreint le nombre de pièces accessibles aux parties plaignantes, en indiquant, comme unique motif, le fait qu'il avait entendu les autres parties et participants à la procédure à ce sujet. Il rappelait également l'interdiction de l'utilisation des pièces en dehors de la procédure pénale nationale (act. 1.1).</w:t>
      </w:r>
    </w:p>
    <w:p>
      <w:r>
        <w:rPr>
          <w:b/>
        </w:rPr>
        <w:t>E. 2.4</w:t>
      </w:r>
    </w:p>
    <w:p>
      <w:r>
        <w:t>Si on peut implicitement comprendre la raison ayant justifié l'interdiction d'utiliser les pièces concernées en dehors de la procédure suisse, en parti- culier dans le cadre du litige qui oppose les parties en Angleterre, en re- vanche, l'autorité intimée ne fournit aucune explication quant au fait qu'elle est revenue sur sa décision initiale qui octroyait aux parties plaignantes un plein accès au dossier. Dans la décision querellée, le MPC n'indique ni quelles sont les parties qu'il a entendues à ce sujet, ni les griefs que celles- ci ont fait valoir pour empêcher les parties plaignantes de pouvoir consulter tout le dossier. En compulsant la liste des documents qui seraient aujour- d'hui seuls accessibles aux parties plaignantes (act. 1.1), on ne distingue pas non plus quelle logique justifie que certaines pièces puissent encore être remises aux recourants et d'autres plus. Il convient donc de considérer que l'autorité intimée a failli à son obligation de motiver suffisamment la dé- cision attaquée. Par ailleurs, dans la mesure où dans sa réponse le MPC a indiqué n'avoir aucune observation à formuler (act. 3), le vice qui entache la décision atta-</w:t>
      </w:r>
    </w:p>
    <w:p>
      <w:r>
        <w:t>- 6 -</w:t>
      </w:r>
    </w:p>
    <w:p>
      <w:r>
        <w:t>quée ne peut être considéré comme ayant été guéri devant l'autorité de céans.</w:t>
      </w:r>
    </w:p>
    <w:p>
      <w:r>
        <w:rPr>
          <w:b/>
        </w:rPr>
        <w:t>E. 3</w:t>
      </w:r>
    </w:p>
    <w:p>
      <w:r>
        <w:t>Les considérants qui précèdent conduisent à l'admission du recours et au renvoi de la cause au MPC, à charge pour lui de rendre une nouvelle déci- sion motivée.</w:t>
      </w:r>
    </w:p>
    <w:p>
      <w:r>
        <w:rPr>
          <w:b/>
        </w:rPr>
        <w:t>E. 4.1</w:t>
      </w:r>
    </w:p>
    <w:p>
      <w:r>
        <w:t>En l'occurrence, vu l'issue de la cause, les frais de la présente procédure de recours sont pris en charge par la Caisse de l'Etat (art. 423 al. 1 CPP; Message, FF 2006 1057, p. 1310; GRIESSER, Kommentar StPO, n° 4 ad art. 428; SCHMID, op. cit., n° 1777).</w:t>
      </w:r>
    </w:p>
    <w:p>
      <w:r>
        <w:rPr>
          <w:b/>
        </w:rPr>
        <w:t>E. 4.2</w:t>
      </w:r>
    </w:p>
    <w:p>
      <w:r>
        <w:t>La partie qui obtient gain de cause a droit à une indemnité pour les dépen- ses occasionnées par l'exercice raisonnable de ses droits de procédure (art. 433 al. 1 let. a CPP). Selon l'art. 12 al. 1 du règlement du Tribunal pé- nal fédéral du 31 août 2010 sur les frais, émoluments, dépens et indemni- tés de la procédure pénale fédérale (RFPPF; RS 173.713.162), les hono- raires sont fixés en fonction du temps effectivement consacré à la cause et nécessaire à la défense de la partie représentée. Selon l'art. 12 al. 2 du même règlement, lorsque l'avocat ne fait pas parvenir le décompte de ses prestations dans la procédure devant la Cour des plaintes, avec son unique ou sa dernière écriture, le montant des honoraires est fixé selon l'apprécia- tion de la Cour. En l'espèce, une indemnité d'un montant de CHF 1'000.-- (TVA incluse) paraît équitable; elle sera mise à la charge du MPC.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