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 vom 6. Juni 2012</w:t>
      </w:r>
    </w:p>
    <w:p>
      <w:r>
        <w:t>Bundesstrafgericht, 2012-06-06, FR</w:t>
      </w:r>
    </w:p>
    <w:p>
      <w:r>
        <w:rPr>
          <w:b/>
        </w:rPr>
        <w:t xml:space="preserve">Quelle: </w:t>
      </w:r>
      <w:r>
        <w:t>https://mcp.opencaselaw.ch/entscheid/bstger_BB.2012.14</w:t>
      </w:r>
    </w:p>
    <w:p>
      <w:r>
        <w:t>FR: TPF BB.2012.14 du 6 juin 2012</w:t>
      </w:r>
    </w:p>
    <w:p>
      <w:r>
        <w:t>IT: TPF BB.2012.14 del 6 giugno 2012</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 tées).</w:t>
      </w:r>
    </w:p>
    <w:p>
      <w:r>
        <w:t>En l'espèce, le recours est formé par les titulaires des comptes dont le blo- cage a été ordonné par le MPC en date du 20 janvier 2012. Les recouran- tes disposent ainsi d'un intérêt juridiquement protégé à l'annulation de cette dernière.</w:t>
      </w:r>
    </w:p>
    <w:p>
      <w:r>
        <w:rPr>
          <w:b/>
        </w:rPr>
        <w:t>E. 1.2</w:t>
      </w:r>
    </w:p>
    <w:p>
      <w:r>
        <w:t>Le recours contre les décisions notifiées par écrit ou oralement est motivé et adressé par écrit, dans le délai de dix jours, à l’autorité de recours (art. 396 al. 1 CPP). Aux termes de l’art. 393 al. 2 CPP, le recours peut être</w:t>
      </w:r>
    </w:p>
    <w:p>
      <w:r>
        <w:t>- 4 -</w:t>
      </w:r>
    </w:p>
    <w:p>
      <w:r>
        <w:t>formé pour violation du droit, y compris l’excès et l’abus du pouvoir d’appréciation, le déni de justice et le retard injustifié (let. a), la constatation incomplète ou erronée des faits (let. b) ou l’inopportunité (let. c). Ces condi- tions étant remplies en l’espèce, le recours est recevable.</w:t>
      </w:r>
    </w:p>
    <w:p>
      <w:r>
        <w:rPr>
          <w:b/>
        </w:rPr>
        <w:t>E. 2</w:t>
      </w:r>
    </w:p>
    <w:p>
      <w:r>
        <w:t>Dans un grief, d’ordre formel, soulevé à l'appui de leur argumentation rela- tive à "[l]'absence de blanchiment possible en Suisse" (act. 1, p. 11 s.), les recourantes se plaignent d’une violation de leur droit d’être entendues sous l’angle du droit à obtenir une décision motivée (act. 1, p. 11 ch. 39).</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t>S’agissant plus particulièrement de la communication d’informations à des établissements bancaires dans le cadre de l’émission d’ordonnances de séquestre de comptes bancaires, c’est le lieu de rappeler que le Tribunal fédéral a eu l’occasion de définir précisément la portée de l’art. 29 al. 2 Cst. dans ce contexte. Dans un arrêt du 16 juillet 2002, la Haute Cour a posé le principe selon lequel, pour respecter le droit d’être entendu de la personne privée de la libre disposition de ses biens, une ordonnance de séquestre devait indiquer – de manière succincte – contre qui l’action pénale était en- gagée, quels étaient les faits poursuivis et, surtout, pour quelles raisons le séquestre devait être prononcé (arrêt du Tribunal fédéral 1A.95/2002 du 16 juillet 2002, consid. 3.3). Pareille solution a été reprise à l'art. 263 al. 2</w:t>
      </w:r>
    </w:p>
    <w:p>
      <w:r>
        <w:t>- 5 -</w:t>
      </w:r>
    </w:p>
    <w:p>
      <w:r>
        <w:t>1ère phrase CPP, lequel prévoit désormais expressément que "[l]e sé- questre est ordonné par voie d'ordonnance écrite, brièvement motivée" (v. LEMBO/JULEN BERTHOD, Commentaire romand, Code de procédure pé- nale suisse, no 35 ad art. 263, spéc. note de bas de page 71). Les exi- gences de motivation en matière de séquestre sont ainsi moindres que celles prévalant pour un jugement au fond (v. HEIMGARTNER, Strafprozes- suale Beschlagnahme, Zurich/Bâle/Genève 2011, p. 106 s.).</w:t>
      </w:r>
    </w:p>
    <w:p>
      <w:r>
        <w:rPr>
          <w:b/>
        </w:rPr>
        <w:t>E. 2.2</w:t>
      </w:r>
    </w:p>
    <w:p>
      <w:r>
        <w:t>En l’espèce, la décision entreprise mentionne les noms des deux prévenus visés par l’enquête du MPC, les faits poursuivis (blanchiment d'argent en Suisse; escroquerie aggravée et dommage causé au propriétaire d'un bien en le trompant ou en abusant de sa confiance [art. 159 al. 4 et 165 al. 3 let. b du Code pénal de la Fédération de Russie] en Russie), de même que les raisons pour lesquelles un séquestre devait être prononcé, à savoir le fait que "[l]es premières analyses des documents bancaires ont mis no- tamment en évidence que des membres de la famille de C. seraient titu- laires et/ou ayants droit économiques des comptes mentionnés ci-dessus", d'une part, et que "[l]es objets ou valeurs patrimoniales d'un tiers sont sé- questrés en vue de leur utilisation comme moyens de preuves, garantie des frais de procédure, peines pécuniaires, amendes et dédommagements ou de restitution au lésé ou de confiscation ou de prise en compte dans le cadre de la fixation d'une créance compensatrice", d'autre part (act. 1.12, p. 3).</w:t>
      </w:r>
    </w:p>
    <w:p>
      <w:r>
        <w:t>Force est ainsi de constater que les éléments exigés en lien avec la moti- vation d'une ordonnance de séquestre (v. supra consid. 2.1) se retrouvent bel et bien dans la décision entreprise. La motivation de cette dernière n’a d’ailleurs pas échappé aux recourantes qui, assistées d’un mandataire pro- fessionnel, ont été en mesure d’apprécier correctement sa portée et de l’attaquer à bon escient.</w:t>
      </w:r>
    </w:p>
    <w:p>
      <w:r>
        <w:t>Le grief tiré de la violation de l’obligation de motiver s’avère ainsi mal fondé.</w:t>
      </w:r>
    </w:p>
    <w:p>
      <w:r>
        <w:rPr>
          <w:b/>
        </w:rPr>
        <w:t>E. 3</w:t>
      </w:r>
    </w:p>
    <w:p>
      <w:r>
        <w:t>Les recourantes contestent pour le surplus le bien-fondé des mesures de séquestre frappant leurs comptes.</w:t>
      </w:r>
    </w:p>
    <w:p>
      <w:r>
        <w:rPr>
          <w:b/>
        </w:rPr>
        <w:t>E. 3.1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w:t>
      </w:r>
    </w:p>
    <w:p>
      <w:r>
        <w:t>- 6 -</w:t>
      </w:r>
    </w:p>
    <w:p>
      <w:r>
        <w:t>les valeurs patrimoniales ont servi à commettre une infraction ou en sont le produit, que les infractions aient été commises par leur détenteur ou par un tiers (ATF 124 IV 313 consid. 4; TPF 2005 84 consid. 3.1.2; arrêt du Tribu- nal pénal fédéral BB.2005.42 du 14 septembre 2005, consid. 2.1; HEIM- GARTNER, op. cit., p. 125 ss). Pour que le maintien du séquestre pendant une période prolongée se justifie, il importe que ces présomptions se ren- forcent en cours d’enquête et que l’existence d’un lien de causalité adéquat entre les valeurs saisies et les actes délictueux puisse être considérée comme hautement vraisemblable (ATF 122 IV 91 consid. 4; OBERHOLZER, Grundzüge des Strafprozessrechts, 2e éd., Berne 2005, no 1139). La mesu- 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w:t>
      </w:r>
    </w:p>
    <w:p>
      <w:r>
        <w:rPr>
          <w:b/>
        </w:rPr>
        <w:t>E. 3.2.1</w:t>
      </w:r>
    </w:p>
    <w:p>
      <w:r>
        <w:t>Selon le MPC, et en substance, il existerait au stade actuel de l’enquête di- rigée notamment contre C., des soupçons suffisants selon lesquels les comptes des recourantes abriteraient des valeurs patrimoniales résultant d’opérations de blanchiment d’argent au sens de l’art. 305bis CP (act. 3, p. 3 ss).</w:t>
      </w:r>
    </w:p>
    <w:p>
      <w:r>
        <w:t>Le MPC soupçonne C. de s’être rendu coupable de malversations alors qu’il occupait un poste de dirigeant de la banque D. Pour étayer ses soup- çons, le MPC se fonde principalement sur le résultat de deux commissions rogatoires adressées aux autorités russes (act. 1.23). Selon les informa- tions dont dispose à ce stade l’autorité de poursuite, C., alors président de la banque D., aurait dès la fin de l’année 2008, et de concert avec le vice- président de ladite banque – le dénommé F., également poursuivi –, mis en place un système d’octroi de crédits à des clients de complaisance; pareil mécanisme leur aurait permis de détourner et de s’approprier des sommes très importantes (près de 13 milliards de roubles). Ces faits font l’objet d’une enquête référencée no 3 par le Département du Ministère de l’intérieur de la Fédération de Russie (act. 1.23, p. 1), dont le détail des soupçons – et en particulier le schéma de détournement de fonds repro-</w:t>
      </w:r>
    </w:p>
    <w:p>
      <w:r>
        <w:t>- 7 -</w:t>
      </w:r>
    </w:p>
    <w:p>
      <w:r>
        <w:t>chés aux prévenus – est explicité par les autorités russes dans leur répon- se à la commission rogatoire helvétique (act. 1.23, p. 2).</w:t>
      </w:r>
    </w:p>
    <w:p>
      <w:r>
        <w:t>Par ailleurs, ledit C. fait l’objet d’une seconde enquête par les autorités rus- ses, et ce toujours en lien avec son activité au sein de la banque D. Réfé- rencée no 4, elle porte sur des soupçons d’abus de confiance commis lors d’opérations d’achat et de vente d’actions pour le compte de la banque D. (act. 1.23, p. 7 ss). Ces actes seraient susceptibles d’avoir causé un dom- mage de plus de 1,5 milliard de roubles aux actionnaires de la banque D. (act. 1.23, p. 16). Le détail des faits reprochés figure également dans la ré- ponse des autorités russes à la commission rogatoire suisse (act. 1.23, p. 7 ss).</w:t>
      </w:r>
    </w:p>
    <w:p>
      <w:r>
        <w:t>Dans le cadre de ses investigations en Suisse, le MPC a mis à jour le fait que des valeurs patrimoniales à hauteur de plusieurs millions de USD dont C. était l'ayant droit économique jusqu'en juin 2011 reposeraient aujour- d'hui sur les comptes des recourantes, dont certains des actuels ayants droit économiques sont des membres de la famille dudit C. Ces derniers le sont devenus ensuite d'un don d'actifs que C. a opéré le 20 juin 2011 par le truchement d'un groupe de sociétés dont il est l'ayant droit économique (v. act. 1.11 et 1.14; act. 1, p. 4).</w:t>
      </w:r>
    </w:p>
    <w:p>
      <w:r>
        <w:rPr>
          <w:b/>
        </w:rPr>
        <w:t>E. 3.2.2</w:t>
      </w:r>
    </w:p>
    <w:p>
      <w:r>
        <w:t>A la lumière des éléments récoltés par le MPC à ce stade, force est d’admettre qu’il existe – en l’état – des indices suffisants permettant de suspecter que les valeurs patrimoniales saisies sur les comptes des recou- rantes sont le produit des infractions dont C. est soupçonné de s’être rendu coupable en Russie. Il sied d’insister ici sur le fait que les investigations du MPC ouvertes le 12 juillet 2011 contre F., et étendues à C. le 10 octobre suivant (v. supra let. A), se trouvent encore dans une phase qu’il convient de qualifier d’initiale (v. TPF 2010 22 consid. 2.2.2 et 2.2.3 in fine). Dans le cadre de procédures complexes portant sur des soupçons de criminalité économique transfrontalière mettant aux prises de nombreux acteurs – parmi lesquels plusieurs sociétés –, et nécessitant la collaboration étrangè- re par la voie de l’entraide, il tombe sous le sens que les soupçons initiaux présidant à l’ouverture d’une enquête peuvent mettre un certain temps à se concrétiser. A cet égard, l’autorité de poursuite doit pouvoir être en mesure d’analyser la documentation en sa possession et prendre les mesures d’instruction qui s’imposent pour confirmer, respectivement infirmer l’existence du soupçon initial. En l’espèce, le MPC a agi sans désemparer, en requérant notamment par deux fois la coopération des autorités russes. Il a par ailleurs procédé à la saisie de plusieurs relations bancaires en lien avec les prévenus C. et F., afin de tenter d’éclaircir l’arrière-plan économi-</w:t>
      </w:r>
    </w:p>
    <w:p>
      <w:r>
        <w:t>- 8 -</w:t>
      </w:r>
    </w:p>
    <w:p>
      <w:r>
        <w:t>que de la structure financière mise en place par ces derniers. L’analyse de la documentation est en cours, des compléments d’informations devant po- tentiellement encore être demandés aux autorités russes (act. 3, p. 6). Il n’y a pas lieu de douter que le MPC prendra les mesures qui s’imposent en fonction du résultat de ses analyses, comme cela a déjà été le cas dans le cadre des présentes investigations (v. arrêt du Tribunal pénal fédéral BB.2012.17 du 17 avril 2012). Cela étant précisé, il apparaît pour le surplus que, sous l’angle de la proportionnalité, les montants saisis sur les comptes des recourantes – soit un total d'environ USD 139 millions USD au 31 janvier 2012 (act. 1.21 et 1.22) –, bien qu'importants, demeurent en de- çà du montant total que le mécanisme frauduleux auquel les prévenus sont soupçonnés d’avoir pris part en Russie aurait permis de détourner (v. supra let. A in fine).</w:t>
      </w:r>
    </w:p>
    <w:p>
      <w:r>
        <w:t>Sur le vu de l’ensemble des éléments qui précèdent, il apparaît que la me- sure de séquestre visant les comptes nos 1 et 2, dont les recourantes sont les titulaires respectives auprès de la banque E. AG à Zurich, repose sur des soupçons suffisants, d'une part, et n’est – à ce stade de l’enquête – pas disproportionnée tant quant à son principe que du point de vue de sa durée, d'autre part.</w:t>
      </w:r>
    </w:p>
    <w:p>
      <w:r>
        <w:t>4. Les considérants qui précèdent conduisent au rejet du recours.</w:t>
      </w:r>
    </w:p>
    <w:p>
      <w:r>
        <w:t>5.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à la charge solidaire des recourantes.</w:t>
      </w:r>
    </w:p>
    <w:p>
      <w:r>
        <w:t>- 9 -</w:t>
      </w:r>
    </w:p>
    <w:p>
      <w:r>
        <w:rPr>
          <w:b/>
        </w:rPr>
        <w:t>E. 8</w:t>
      </w:r>
    </w:p>
    <w:p>
      <w:r>
        <w:t>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SJ 1994 p. 97,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