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BB.2012.12 vom 29. Mai 2012</w:t>
      </w:r>
    </w:p>
    <w:p>
      <w:r>
        <w:t>Bundesstrafgericht, 2012-05-29, FR</w:t>
      </w:r>
    </w:p>
    <w:p>
      <w:r>
        <w:rPr>
          <w:b/>
        </w:rPr>
        <w:t xml:space="preserve">Quelle: </w:t>
      </w:r>
      <w:r>
        <w:t>https://mcp.opencaselaw.ch/entscheid/bstger_BB.2012.12</w:t>
      </w:r>
    </w:p>
    <w:p>
      <w:r>
        <w:t>FR: TPF BB.2012.12 du 29 mai 2012</w:t>
      </w:r>
    </w:p>
    <w:p>
      <w:r>
        <w:t>IT: TPF BB.2012.12 del 29 maggio 2012</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S’agissant d’une mesure de séquestre d’un compte bancaire, seul le titulaire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consid. 1.5 et les références ci- tées).</w:t>
      </w:r>
    </w:p>
    <w:p>
      <w:r>
        <w:t>En l'espèce, le recours est formé par les titulaires des comptes dont le blo- cage a été ordonné par le MPC en date du 20 janvier 2012. Les recouran-</w:t>
      </w:r>
    </w:p>
    <w:p>
      <w:r>
        <w:t>- 4 -</w:t>
      </w:r>
    </w:p>
    <w:p>
      <w:r>
        <w:t>tes disposent ainsi d'un intérêt juridiquement protégé à l'annulation de cette dernière.</w:t>
      </w:r>
    </w:p>
    <w:p>
      <w:r>
        <w:rPr>
          <w:b/>
        </w:rPr>
        <w:t>E. 1.2</w:t>
      </w:r>
    </w:p>
    <w:p>
      <w:r>
        <w:t>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 tions étant remplies en l’espèce, le recours est recevable.</w:t>
      </w:r>
    </w:p>
    <w:p>
      <w:r>
        <w:rPr>
          <w:b/>
        </w:rPr>
        <w:t>E. 2</w:t>
      </w:r>
    </w:p>
    <w:p>
      <w:r>
        <w:t>Les recourantes contestent le bien-fondé des mesures de séquestre frap- pant leurs comptes.</w:t>
      </w:r>
    </w:p>
    <w:p>
      <w:r>
        <w:rPr>
          <w:b/>
        </w:rPr>
        <w:t>E. 2.1</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(ATF 124 IV 313 consid. 4; TPF 2005 84 consid. 3.1.2; arrêt du Tribu- nal pénal fédéral BB.2005.42 du 14 septembre 2005, consid. 2.1; HEIM- GARTNER, Strafprozessuale Beschlagnahme, Zurich/Bâle/Genève, p. 125 ss). Pour que le maintien du séquestre pendant une période prolon- gée se justifie, il importe que ces présomptions se renforcent en cours d’enquête et que l’existence d’un lien de causalité adéquat entre les va- leurs saisies et les actes délictueux puisse être considérée comme haute- ment vraisemblable (ATF 122 IV 91 consid. 4; OBERHOLZER, Grundzüge des Strafprozessrechts, 2e éd., Berne 2005, no 1139). La mesure doit par ailleurs, à l’instar de toute mesure de contrainte, reposer sur une base lé- gale, être justifiée par un intérêt public suffisant et respecter le principe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SJ 1994 p. 97, 102).</w:t>
      </w:r>
    </w:p>
    <w:p>
      <w:r>
        <w:t>- 5 -</w:t>
      </w:r>
    </w:p>
    <w:p>
      <w:r>
        <w:rPr>
          <w:b/>
        </w:rPr>
        <w:t>E. 2.2.1</w:t>
      </w:r>
    </w:p>
    <w:p>
      <w:r>
        <w:t>Selon le MPC, et en substance, il existerait au stade actuel de l’enquête di- rigée notamment contre C. (v. supra let. A), des soupçons suffisants selon lesquels les comptes des recourantes abriteraient des valeurs patrimonia- les résultant d’opérations de blanchiment d’argent au sens de l’art. 305bis CP (act. 3, p. 3 ss).</w:t>
      </w:r>
    </w:p>
    <w:p>
      <w:r>
        <w:t>Le MPC soupçonne C. de s’être rendu coupable de malversations alors qu’il occupait un poste de dirigeant de la banque D. Pour étayer ses soup- çons, le MPC se fonde principalement sur le résultat de deux commissions rogatoires adressées aux autorités russes (act. 1.35). Selon les informa- tions dont dispose à ce stade l’autorité de poursuite, C., alors vice- président de la banque D., aurait dès la fin de l’année 2008, et de concert avec le président de ladite banque – le dénommé F., également poursuivi – mis en place un système d’octroi de crédits à des clients de complaisance; pareil mécanisme leur aurait permis de détourner et de s’approprier des sommes très importantes (près de 13 milliards de roubles). Ces faits font l’objet d’une enquête référencée no 3 par le Département du Ministère de l’intérieur de la Fédération de Russie (act. 1.35, p. 1), dont le détail des soupçons – et en particulier le schéma de détournement de fonds repro- chés aux prévenus – est explicité par les autorités russes dans leur répon- se à la commission rogatoire helvétique (act. 1.35, p. 2).</w:t>
      </w:r>
    </w:p>
    <w:p>
      <w:r>
        <w:t>Par ailleurs, ledit C. fait l’objet d’une seconde enquête par les autorités rus- ses, et ce toujours en lien avec son activité au sein de la banque D. Réfé- rencée no 4, elle porte sur des soupçons d’abus de confiance commis lors d’opérations d’achat et de vente d’actions pour le compte de la banque D. (act. 1.35, p. 7 ss). Ces actes seraient susceptibles d’avoir causé un dom- mage de plus de 1,5 milliard de roubles aux actionnaires de la banque D. (act. 1.35, p. 16). Le détail des faits reprochés figure également dans la ré- ponse des autorités russes à la commission rogatoire suisse (act. 1.35, p. 7 ss).</w:t>
      </w:r>
    </w:p>
    <w:p>
      <w:r>
        <w:t>Dans le cadre de ses investigations en Suisse, le MPC a mis à jour le fait que des valeurs patrimoniales à hauteur de plusieurs millions de USD dont C. était l'ayant droit économique jusqu'en juin 2011 reposeraient aujour- d'hui sur les comptes des recourantes, dont les actuels ayants droit éco- nomiques sont des membres de la famille dudit C. Ces derniers le sont de- venus ensuite d'un don d'actifs que C. a opéré le 14 juin 2011 par le tru- chement de sociétés dont il est l'ayant droit économique (v. act. 1, p. 9).</w:t>
      </w:r>
    </w:p>
    <w:p>
      <w:r>
        <w:t>- 6 -</w:t>
      </w:r>
    </w:p>
    <w:p>
      <w:r>
        <w:rPr>
          <w:b/>
        </w:rPr>
        <w:t>E. 2.2.2</w:t>
      </w:r>
    </w:p>
    <w:p>
      <w:r>
        <w:t>A la lumière des éléments récoltés par le MPC à ce stade, force est d’admettre qu’il existe – en l’état – des indices suffisants permettant de suspecter que les valeurs patrimoniales saisies sur les comptes des recou- rantes sont le produit des infractions dont C. est soupçonné de s’être rendu coupable en Russie. Il sied d’insister ici sur le fait que les investigations du MPC ouvertes le 12 juillet 2011 contre C. (v. supra let. A), et étendues à F. le 10 octobre suivant (v. supra consid. 2.2.1), se trouvent encore dans une phase qu’il convient de qualifier d’initiale (v. TPF 2010 22 consid. 2.2.2 et</w:t>
      </w:r>
    </w:p>
    <w:p>
      <w:r>
        <w:rPr>
          <w:b/>
        </w:rPr>
        <w:t>E. 2.2.3</w:t>
      </w:r>
    </w:p>
    <w:p>
      <w:r>
        <w:t>in fine). Dans le cadre de procédures complexes portant sur des soupçons de criminalité économique transfrontalière mettant aux prises de nombreux acteurs – parmi lesquels plusieurs sociétés –, et nécessitant la collaboration étrangère par la voie de l’entraide, il tombe sous le sens que les soupçons initiaux présidant à l’ouverture d’une enquête peuvent mettre un certain temps à se concrétiser. A cet égard, l’autorité de poursuite doit pouvoir être en mesure d’analyser la documentation en sa possession et prendre les mesures d’instruction qui s’imposent pour confirmer, respecti- vement infirmer l’existence du soupçon initial. En l’espèce, le MPC a agi sans désemparer, en requérant notamment par deux fois la coopération des autorités russes. Il a par ailleurs procédé à la saisie de plusieurs rela- tions bancaires en lien avec les prévenus C. et F., afin de tenter d’éclaircir l’arrière-plan économique de la structure financière mise en place par ces derniers. L’analyse de la documentation est en cours, des compléments d’informations devant potentiellement encore être demandés aux autorités russes (act. 3, p. 6). Il n’y a pas lieu de douter que le MPC prendra les me- sures qui s’imposent en fonction du résultat de ses analyses, comme cela a déjà été le cas dans le cadre des présentes investigations (v. arrêt du Tri- bunal pénal fédéral BB.2012.17 du 17 avril 2012). Cela étant précisé, il ap- paraît pour le surplus que, sous l’angle de la proportionnalité, les montants saisis sur les comptes des recourantes – soit un total d'environ USD 3,5 millions USD au 27 janvier 2012 (act. 1.31 et 1.29) – demeurent largement en deçà du montant total que le mécanisme frauduleux auquel il est soup- çonné d’avoir pris part en Russie aurait permis de détourner (v. supra let. A in fine).</w:t>
      </w:r>
    </w:p>
    <w:p>
      <w:r>
        <w:t>Sur le vu de l’ensemble des éléments qui précèdent, il apparaît que la me- sure de séquestre visant les comptes nos 1 et 2, dont les recourantes sont les titulaires respectives auprès de la banque E. AG à Zurich, repose sur des soupçons suffisants, d'une part, et n’est – à ce stade de l’enquête – pas disproportionnée tant quant à son principe que du point de vue de sa durée, d'autre part.</w:t>
      </w:r>
    </w:p>
    <w:p>
      <w:r>
        <w:t>- 7 -</w:t>
      </w:r>
    </w:p>
    <w:p>
      <w:r>
        <w:rPr>
          <w:b/>
        </w:rPr>
        <w:t>E. 3</w:t>
      </w:r>
    </w:p>
    <w:p>
      <w:r>
        <w:t>Les considérants qui précèdent conduisent au rejet du recours.</w:t>
      </w:r>
    </w:p>
    <w:p>
      <w:r>
        <w:rPr>
          <w:b/>
        </w:rPr>
        <w:t>E. 4</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2'000.--, à la charge solidaire des recourantes.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